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02" w:rsidRPr="00396C8E" w:rsidRDefault="00FA3D02" w:rsidP="00FA3D02">
      <w:pPr>
        <w:autoSpaceDE w:val="0"/>
        <w:autoSpaceDN w:val="0"/>
        <w:adjustRightInd w:val="0"/>
        <w:rPr>
          <w:i/>
          <w:sz w:val="18"/>
          <w:szCs w:val="18"/>
        </w:rPr>
      </w:pPr>
      <w:r w:rsidRPr="007E25F7">
        <w:rPr>
          <w:rFonts w:eastAsia="PMingLiU" w:hint="eastAsia"/>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w:t>
      </w:r>
      <w:r w:rsidR="00396C8E" w:rsidRPr="007E25F7">
        <w:rPr>
          <w:rFonts w:eastAsia="PMingLiU" w:hint="eastAsia"/>
          <w:i/>
          <w:sz w:val="18"/>
          <w:szCs w:val="18"/>
          <w:lang w:eastAsia="zh-TW"/>
        </w:rPr>
        <w:t>何責任</w:t>
      </w:r>
      <w:r w:rsidR="00396C8E" w:rsidRPr="00396C8E">
        <w:rPr>
          <w:rFonts w:eastAsia="PMingLiU" w:hint="eastAsia"/>
          <w:i/>
          <w:sz w:val="18"/>
          <w:szCs w:val="18"/>
          <w:lang w:eastAsia="zh-TW"/>
        </w:rPr>
        <w:t>。</w:t>
      </w:r>
    </w:p>
    <w:p w:rsidR="00FA3D02" w:rsidRPr="00F436AF" w:rsidRDefault="00FA3D02" w:rsidP="00FA3D02">
      <w:pPr>
        <w:autoSpaceDE w:val="0"/>
        <w:autoSpaceDN w:val="0"/>
        <w:adjustRightInd w:val="0"/>
        <w:rPr>
          <w:rFonts w:ascii="宋体" w:hAnsi="宋体"/>
          <w:i/>
          <w:color w:val="231F20"/>
          <w:kern w:val="0"/>
          <w:szCs w:val="21"/>
          <w:lang w:eastAsia="zh-TW"/>
        </w:rPr>
      </w:pPr>
    </w:p>
    <w:p w:rsidR="00FA3D02" w:rsidRDefault="0042795D" w:rsidP="00FA3D02">
      <w:pPr>
        <w:autoSpaceDE w:val="0"/>
        <w:autoSpaceDN w:val="0"/>
        <w:adjustRightInd w:val="0"/>
        <w:rPr>
          <w:rFonts w:ascii="宋体" w:hAnsi="宋体"/>
          <w:color w:val="231F20"/>
          <w:kern w:val="0"/>
          <w:sz w:val="28"/>
          <w:szCs w:val="18"/>
          <w:lang w:eastAsia="zh-TW"/>
        </w:rPr>
      </w:pPr>
      <w:r w:rsidRPr="0042795D">
        <w:rPr>
          <w:rFonts w:ascii="PMingLiU" w:eastAsia="PMingLiU" w:hAnsi="PMingLiU" w:cs="PMingLiU"/>
          <w:noProof/>
          <w:kern w:val="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9.75pt;width:36pt;height:39pt;z-index:1">
            <v:imagedata r:id="rId7" o:title="!SHANDON" chromakey="white"/>
          </v:shape>
        </w:pict>
      </w:r>
    </w:p>
    <w:p w:rsidR="000D15D9" w:rsidRDefault="000D15D9" w:rsidP="00FA3D02">
      <w:pPr>
        <w:autoSpaceDE w:val="0"/>
        <w:autoSpaceDN w:val="0"/>
        <w:adjustRightInd w:val="0"/>
        <w:jc w:val="center"/>
        <w:rPr>
          <w:rFonts w:ascii="宋体" w:hAnsi="宋体"/>
          <w:b/>
          <w:bCs/>
          <w:color w:val="231F20"/>
          <w:kern w:val="0"/>
          <w:sz w:val="24"/>
          <w:szCs w:val="18"/>
        </w:rPr>
      </w:pPr>
    </w:p>
    <w:p w:rsidR="000D15D9" w:rsidRDefault="000D15D9" w:rsidP="00FA3D02">
      <w:pPr>
        <w:autoSpaceDE w:val="0"/>
        <w:autoSpaceDN w:val="0"/>
        <w:adjustRightInd w:val="0"/>
        <w:jc w:val="center"/>
        <w:rPr>
          <w:rFonts w:ascii="宋体" w:hAnsi="宋体"/>
          <w:b/>
          <w:bCs/>
          <w:color w:val="231F20"/>
          <w:kern w:val="0"/>
          <w:sz w:val="24"/>
          <w:szCs w:val="18"/>
        </w:rPr>
      </w:pPr>
    </w:p>
    <w:p w:rsidR="00FA3D02" w:rsidRDefault="00FA3D02" w:rsidP="00FA3D02">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w:t>
      </w:r>
      <w:bookmarkStart w:id="0" w:name="_GoBack"/>
      <w:bookmarkEnd w:id="0"/>
      <w:r w:rsidRPr="007708CF">
        <w:rPr>
          <w:rFonts w:ascii="宋体" w:eastAsia="PMingLiU" w:hAnsi="宋体" w:hint="eastAsia"/>
          <w:b/>
          <w:bCs/>
          <w:color w:val="231F20"/>
          <w:kern w:val="0"/>
          <w:sz w:val="24"/>
          <w:szCs w:val="18"/>
          <w:lang w:eastAsia="zh-TW"/>
        </w:rPr>
        <w:t>份有限公司</w:t>
      </w:r>
    </w:p>
    <w:p w:rsidR="00FA3D02" w:rsidRDefault="00FA3D02" w:rsidP="00FA3D02">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FA3D02" w:rsidRDefault="00FA3D02" w:rsidP="00FA3D02">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w:t>
      </w:r>
      <w:r w:rsidR="00B45245" w:rsidRPr="007708CF">
        <w:rPr>
          <w:rFonts w:ascii="宋体" w:eastAsia="PMingLiU" w:hAnsi="宋体" w:hint="eastAsia"/>
          <w:color w:val="231F20"/>
          <w:kern w:val="0"/>
          <w:sz w:val="18"/>
          <w:szCs w:val="18"/>
          <w:lang w:eastAsia="zh-TW"/>
        </w:rPr>
        <w:t>於</w:t>
      </w:r>
      <w:r w:rsidRPr="007708CF">
        <w:rPr>
          <w:rFonts w:ascii="宋体" w:eastAsia="PMingLiU" w:hAnsi="宋体" w:hint="eastAsia"/>
          <w:color w:val="231F20"/>
          <w:kern w:val="0"/>
          <w:sz w:val="18"/>
          <w:szCs w:val="18"/>
          <w:lang w:eastAsia="zh-TW"/>
        </w:rPr>
        <w:t>中華人民共和國註冊成立之股份有限公司）</w:t>
      </w:r>
    </w:p>
    <w:p w:rsidR="00FA3D02" w:rsidRDefault="00FA3D02" w:rsidP="00FA3D02">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FA3D02" w:rsidRDefault="00FA3D02" w:rsidP="00FA3D02">
      <w:pPr>
        <w:autoSpaceDE w:val="0"/>
        <w:autoSpaceDN w:val="0"/>
        <w:adjustRightInd w:val="0"/>
        <w:jc w:val="center"/>
        <w:rPr>
          <w:rFonts w:ascii="宋体" w:hAnsi="宋体"/>
          <w:color w:val="231F20"/>
          <w:kern w:val="0"/>
          <w:sz w:val="20"/>
          <w:szCs w:val="20"/>
          <w:lang w:eastAsia="zh-TW"/>
        </w:rPr>
      </w:pPr>
    </w:p>
    <w:p w:rsidR="00FA3D02" w:rsidRDefault="00FA3D02" w:rsidP="00FA3D02">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FA3D02" w:rsidRPr="00ED2714" w:rsidRDefault="00FA3D02" w:rsidP="00FA3D02">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FA3D02">
        <w:trPr>
          <w:trHeight w:val="686"/>
        </w:trPr>
        <w:tc>
          <w:tcPr>
            <w:tcW w:w="8280" w:type="dxa"/>
          </w:tcPr>
          <w:p w:rsidR="00FA3D02" w:rsidRDefault="00FA3D02" w:rsidP="0012688D">
            <w:pPr>
              <w:autoSpaceDE w:val="0"/>
              <w:autoSpaceDN w:val="0"/>
              <w:adjustRightInd w:val="0"/>
              <w:rPr>
                <w:rFonts w:ascii="宋体" w:hAnsi="宋体"/>
                <w:color w:val="231F20"/>
                <w:kern w:val="0"/>
                <w:szCs w:val="21"/>
              </w:rPr>
            </w:pPr>
          </w:p>
          <w:p w:rsidR="00FA3D02" w:rsidRDefault="00FA3D02" w:rsidP="0012688D">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sidR="005162AF">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FA3D02" w:rsidRDefault="00FA3D02" w:rsidP="00FA3D02">
      <w:pPr>
        <w:autoSpaceDE w:val="0"/>
        <w:autoSpaceDN w:val="0"/>
        <w:adjustRightInd w:val="0"/>
        <w:rPr>
          <w:rFonts w:ascii="宋体" w:hAnsi="宋体"/>
          <w:color w:val="231F20"/>
          <w:kern w:val="0"/>
          <w:szCs w:val="21"/>
          <w:lang w:eastAsia="zh-TW"/>
        </w:rPr>
      </w:pPr>
    </w:p>
    <w:p w:rsidR="00FA3D02" w:rsidRPr="00BE207E" w:rsidRDefault="007163AC" w:rsidP="00E91AE2">
      <w:pPr>
        <w:spacing w:line="440" w:lineRule="exact"/>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sidRPr="00B45245">
        <w:rPr>
          <w:rFonts w:ascii="宋体" w:eastAsia="PMingLiU" w:hAnsi="宋体"/>
          <w:color w:val="231F20"/>
          <w:kern w:val="0"/>
          <w:szCs w:val="21"/>
          <w:lang w:eastAsia="zh-TW"/>
        </w:rPr>
        <w:t>1</w:t>
      </w:r>
      <w:r w:rsidRPr="007163AC">
        <w:rPr>
          <w:rFonts w:ascii="宋体" w:eastAsia="PMingLiU" w:hAnsi="宋体"/>
          <w:color w:val="231F20"/>
          <w:kern w:val="0"/>
          <w:szCs w:val="21"/>
          <w:lang w:eastAsia="zh-TW"/>
        </w:rPr>
        <w:t>7</w:t>
      </w:r>
      <w:r w:rsidRPr="007708CF">
        <w:rPr>
          <w:rFonts w:ascii="宋体" w:eastAsia="PMingLiU" w:hAnsi="宋体" w:hint="eastAsia"/>
          <w:color w:val="231F20"/>
          <w:kern w:val="0"/>
          <w:szCs w:val="21"/>
          <w:lang w:eastAsia="zh-TW"/>
        </w:rPr>
        <w:t>年</w:t>
      </w:r>
      <w:r w:rsidRPr="00B45245">
        <w:rPr>
          <w:rFonts w:ascii="宋体" w:eastAsia="PMingLiU" w:hAnsi="宋体"/>
          <w:color w:val="231F20"/>
          <w:kern w:val="0"/>
          <w:szCs w:val="21"/>
          <w:lang w:eastAsia="zh-TW"/>
        </w:rPr>
        <w:t>4</w:t>
      </w:r>
      <w:r w:rsidRPr="007708CF">
        <w:rPr>
          <w:rFonts w:ascii="宋体" w:eastAsia="PMingLiU" w:hAnsi="宋体" w:hint="eastAsia"/>
          <w:color w:val="231F20"/>
          <w:kern w:val="0"/>
          <w:szCs w:val="21"/>
          <w:lang w:eastAsia="zh-TW"/>
        </w:rPr>
        <w:t>月</w:t>
      </w:r>
      <w:r w:rsidRPr="007163AC">
        <w:rPr>
          <w:rFonts w:ascii="宋体" w:eastAsia="PMingLiU" w:hAnsi="宋体"/>
          <w:color w:val="231F20"/>
          <w:kern w:val="0"/>
          <w:szCs w:val="21"/>
          <w:lang w:eastAsia="zh-TW"/>
        </w:rPr>
        <w:t>18</w:t>
      </w:r>
      <w:r w:rsidRPr="007708CF">
        <w:rPr>
          <w:rFonts w:ascii="宋体" w:eastAsia="PMingLiU" w:hAnsi="宋体" w:hint="eastAsia"/>
          <w:color w:val="231F20"/>
          <w:kern w:val="0"/>
          <w:szCs w:val="21"/>
          <w:lang w:eastAsia="zh-TW"/>
        </w:rPr>
        <w:t>日在巨潮資訊網（</w:t>
      </w:r>
      <w:hyperlink r:id="rId8" w:history="1">
        <w:r w:rsidRPr="007708CF">
          <w:rPr>
            <w:rStyle w:val="a8"/>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）刊登本公司</w:t>
      </w:r>
      <w:r w:rsidR="00BE207E" w:rsidRPr="00BE207E">
        <w:rPr>
          <w:rFonts w:ascii="宋体" w:eastAsia="PMingLiU" w:hAnsi="宋体" w:hint="eastAsia"/>
          <w:color w:val="231F20"/>
          <w:kern w:val="0"/>
          <w:szCs w:val="21"/>
          <w:lang w:eastAsia="zh-TW"/>
        </w:rPr>
        <w:t>《山东新华制药股份有限公司第八届董事会第十二次会议决议公告》、</w:t>
      </w:r>
      <w:r w:rsidRPr="000E34A4">
        <w:rPr>
          <w:rFonts w:ascii="宋体" w:eastAsia="PMingLiU" w:hAnsi="宋体" w:hint="eastAsia"/>
          <w:color w:val="231F20"/>
          <w:kern w:val="0"/>
          <w:szCs w:val="21"/>
          <w:lang w:eastAsia="zh-TW"/>
        </w:rPr>
        <w:t>《</w:t>
      </w:r>
      <w:r w:rsidRPr="002B64E5">
        <w:rPr>
          <w:rFonts w:ascii="宋体" w:eastAsia="PMingLiU" w:hAnsi="宋体"/>
          <w:color w:val="231F20"/>
          <w:kern w:val="0"/>
          <w:szCs w:val="21"/>
          <w:lang w:eastAsia="zh-TW"/>
        </w:rPr>
        <w:t>201</w:t>
      </w:r>
      <w:r w:rsidRPr="007163AC">
        <w:rPr>
          <w:rFonts w:ascii="宋体" w:eastAsia="PMingLiU" w:hAnsi="宋体"/>
          <w:color w:val="231F20"/>
          <w:kern w:val="0"/>
          <w:szCs w:val="21"/>
          <w:lang w:eastAsia="zh-TW"/>
        </w:rPr>
        <w:t>7</w:t>
      </w:r>
      <w:r w:rsidRPr="002B64E5">
        <w:rPr>
          <w:rFonts w:ascii="宋体" w:eastAsia="PMingLiU" w:hAnsi="宋体" w:hint="eastAsia"/>
          <w:color w:val="231F20"/>
          <w:kern w:val="0"/>
          <w:szCs w:val="21"/>
          <w:lang w:eastAsia="zh-TW"/>
        </w:rPr>
        <w:t>年第一季度報告</w:t>
      </w:r>
      <w:r w:rsidRPr="00E36643">
        <w:rPr>
          <w:rFonts w:ascii="宋体" w:eastAsia="PMingLiU" w:hAnsi="宋体" w:hint="eastAsia"/>
          <w:color w:val="231F20"/>
          <w:kern w:val="0"/>
          <w:szCs w:val="21"/>
          <w:lang w:eastAsia="zh-TW"/>
        </w:rPr>
        <w:t>》</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FA3D02" w:rsidRDefault="00FA3D02" w:rsidP="00FA3D02">
      <w:pPr>
        <w:autoSpaceDE w:val="0"/>
        <w:autoSpaceDN w:val="0"/>
        <w:adjustRightInd w:val="0"/>
        <w:rPr>
          <w:rFonts w:ascii="宋体" w:hAnsi="宋体"/>
          <w:color w:val="231F20"/>
          <w:kern w:val="0"/>
          <w:szCs w:val="21"/>
        </w:rPr>
      </w:pPr>
    </w:p>
    <w:p w:rsidR="00B10E93" w:rsidRPr="00B10E93" w:rsidRDefault="00B10E93" w:rsidP="00FA3D02">
      <w:pPr>
        <w:autoSpaceDE w:val="0"/>
        <w:autoSpaceDN w:val="0"/>
        <w:adjustRightInd w:val="0"/>
        <w:rPr>
          <w:rFonts w:ascii="宋体" w:hAnsi="宋体"/>
          <w:color w:val="231F20"/>
          <w:kern w:val="0"/>
          <w:szCs w:val="21"/>
        </w:rPr>
      </w:pPr>
    </w:p>
    <w:p w:rsidR="00FA3D02" w:rsidRDefault="007163AC" w:rsidP="00FA3D02">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sidRPr="007163AC">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FA3D02" w:rsidRDefault="007163AC" w:rsidP="00FA3D02">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FA3D02" w:rsidRPr="006654A4" w:rsidRDefault="007163AC" w:rsidP="00D13A68">
      <w:pPr>
        <w:autoSpaceDE w:val="0"/>
        <w:autoSpaceDN w:val="0"/>
        <w:adjustRightInd w:val="0"/>
        <w:ind w:right="420" w:firstLineChars="3800" w:firstLine="7980"/>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FA3D02" w:rsidRDefault="007163AC" w:rsidP="00D13A68">
      <w:pPr>
        <w:autoSpaceDE w:val="0"/>
        <w:autoSpaceDN w:val="0"/>
        <w:adjustRightInd w:val="0"/>
        <w:ind w:right="420" w:firstLineChars="3800" w:firstLine="7980"/>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FA3D02" w:rsidRDefault="00FA3D02" w:rsidP="00FA3D02">
      <w:pPr>
        <w:autoSpaceDE w:val="0"/>
        <w:autoSpaceDN w:val="0"/>
        <w:adjustRightInd w:val="0"/>
        <w:rPr>
          <w:rFonts w:ascii="宋体" w:hAnsi="宋体"/>
          <w:color w:val="231F20"/>
          <w:kern w:val="0"/>
          <w:szCs w:val="21"/>
          <w:lang w:eastAsia="zh-TW"/>
        </w:rPr>
      </w:pPr>
    </w:p>
    <w:p w:rsidR="00FA3D02" w:rsidRDefault="007163AC" w:rsidP="00FA3D02">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7163AC">
        <w:rPr>
          <w:rFonts w:ascii="宋体" w:eastAsia="PMingLiU" w:hAnsi="宋体" w:hint="eastAsia"/>
          <w:color w:val="231F20"/>
          <w:kern w:val="0"/>
          <w:szCs w:val="21"/>
          <w:lang w:eastAsia="zh-TW"/>
        </w:rPr>
        <w:t>七</w:t>
      </w:r>
      <w:r w:rsidRPr="007708CF">
        <w:rPr>
          <w:rFonts w:ascii="宋体" w:eastAsia="PMingLiU" w:hAnsi="宋体" w:hint="eastAsia"/>
          <w:color w:val="231F20"/>
          <w:kern w:val="0"/>
          <w:szCs w:val="21"/>
          <w:lang w:eastAsia="zh-TW"/>
        </w:rPr>
        <w:t>年</w:t>
      </w:r>
      <w:r w:rsidRPr="003B34BC">
        <w:rPr>
          <w:rFonts w:ascii="宋体" w:eastAsia="PMingLiU" w:hAnsi="宋体" w:hint="eastAsia"/>
          <w:color w:val="231F20"/>
          <w:kern w:val="0"/>
          <w:szCs w:val="21"/>
          <w:lang w:eastAsia="zh-TW"/>
        </w:rPr>
        <w:t>四</w:t>
      </w:r>
      <w:r w:rsidRPr="007708CF">
        <w:rPr>
          <w:rFonts w:ascii="宋体" w:eastAsia="PMingLiU" w:hAnsi="宋体" w:hint="eastAsia"/>
          <w:color w:val="231F20"/>
          <w:kern w:val="0"/>
          <w:szCs w:val="21"/>
          <w:lang w:eastAsia="zh-TW"/>
        </w:rPr>
        <w:t>月</w:t>
      </w:r>
      <w:r w:rsidRPr="007163AC">
        <w:rPr>
          <w:rFonts w:ascii="宋体" w:eastAsia="PMingLiU" w:hAnsi="宋体" w:hint="eastAsia"/>
          <w:color w:val="231F20"/>
          <w:kern w:val="0"/>
          <w:szCs w:val="21"/>
          <w:lang w:eastAsia="zh-TW"/>
        </w:rPr>
        <w:t>十八</w:t>
      </w:r>
      <w:r w:rsidRPr="007708CF">
        <w:rPr>
          <w:rFonts w:ascii="宋体" w:eastAsia="PMingLiU" w:hAnsi="宋体" w:hint="eastAsia"/>
          <w:color w:val="231F20"/>
          <w:kern w:val="0"/>
          <w:szCs w:val="21"/>
          <w:lang w:eastAsia="zh-TW"/>
        </w:rPr>
        <w:t>日</w:t>
      </w:r>
    </w:p>
    <w:p w:rsidR="00FA3D02" w:rsidRPr="00D07EF3" w:rsidRDefault="00FA3D02" w:rsidP="00FA3D02">
      <w:pPr>
        <w:autoSpaceDE w:val="0"/>
        <w:autoSpaceDN w:val="0"/>
        <w:adjustRightInd w:val="0"/>
        <w:rPr>
          <w:rFonts w:ascii="宋体" w:hAnsi="宋体"/>
          <w:color w:val="231F20"/>
          <w:kern w:val="0"/>
          <w:szCs w:val="21"/>
          <w:lang w:eastAsia="zh-TW"/>
        </w:rPr>
      </w:pPr>
    </w:p>
    <w:p w:rsidR="00FA3D02" w:rsidRDefault="0042795D" w:rsidP="00FA3D02">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 filled="f" stroked="f">
            <v:textbox style="mso-next-textbox:#_x0000_s1027">
              <w:txbxContent>
                <w:p w:rsidR="00831310" w:rsidRDefault="00831310" w:rsidP="00FA3D02">
                  <w:pPr>
                    <w:rPr>
                      <w:sz w:val="16"/>
                      <w:szCs w:val="16"/>
                    </w:rPr>
                  </w:pPr>
                </w:p>
              </w:txbxContent>
            </v:textbox>
          </v:shape>
        </w:pict>
      </w:r>
      <w:r w:rsidR="007163AC">
        <w:rPr>
          <w:rFonts w:eastAsia="PMingLiU" w:hint="eastAsia"/>
          <w:lang w:eastAsia="zh-TW"/>
        </w:rPr>
        <w:t>於本公告日期，本公司董事會之成員如下：</w:t>
      </w:r>
    </w:p>
    <w:p w:rsidR="00FA3D02" w:rsidRDefault="00FA3D02" w:rsidP="00FA3D02">
      <w:pPr>
        <w:kinsoku w:val="0"/>
        <w:snapToGrid w:val="0"/>
        <w:rPr>
          <w:lang w:eastAsia="zh-TW"/>
        </w:rPr>
      </w:pPr>
    </w:p>
    <w:p w:rsidR="00FA3D02" w:rsidRDefault="00FA3D02" w:rsidP="00FA3D02">
      <w:pPr>
        <w:kinsoku w:val="0"/>
        <w:snapToGrid w:val="0"/>
        <w:rPr>
          <w:lang w:eastAsia="zh-TW"/>
        </w:rPr>
      </w:pPr>
    </w:p>
    <w:tbl>
      <w:tblPr>
        <w:tblW w:w="0" w:type="auto"/>
        <w:tblLook w:val="01E0"/>
      </w:tblPr>
      <w:tblGrid>
        <w:gridCol w:w="2840"/>
        <w:gridCol w:w="2841"/>
        <w:gridCol w:w="2841"/>
      </w:tblGrid>
      <w:tr w:rsidR="00FA3D02">
        <w:tc>
          <w:tcPr>
            <w:tcW w:w="2840" w:type="dxa"/>
          </w:tcPr>
          <w:p w:rsidR="00FA3D02" w:rsidRDefault="007163AC" w:rsidP="0012688D">
            <w:pPr>
              <w:kinsoku w:val="0"/>
              <w:snapToGrid w:val="0"/>
            </w:pPr>
            <w:r>
              <w:rPr>
                <w:rFonts w:eastAsia="PMingLiU" w:hint="eastAsia"/>
                <w:lang w:eastAsia="zh-TW"/>
              </w:rPr>
              <w:t>執行董事</w:t>
            </w:r>
          </w:p>
        </w:tc>
        <w:tc>
          <w:tcPr>
            <w:tcW w:w="2841" w:type="dxa"/>
          </w:tcPr>
          <w:p w:rsidR="00FA3D02" w:rsidRDefault="007163AC" w:rsidP="0012688D">
            <w:pPr>
              <w:kinsoku w:val="0"/>
              <w:snapToGrid w:val="0"/>
            </w:pPr>
            <w:r>
              <w:rPr>
                <w:rFonts w:eastAsia="PMingLiU" w:hint="eastAsia"/>
                <w:lang w:eastAsia="zh-TW"/>
              </w:rPr>
              <w:t>非執行董事</w:t>
            </w:r>
          </w:p>
        </w:tc>
        <w:tc>
          <w:tcPr>
            <w:tcW w:w="2841" w:type="dxa"/>
          </w:tcPr>
          <w:p w:rsidR="00FA3D02" w:rsidRDefault="007163AC" w:rsidP="0012688D">
            <w:pPr>
              <w:kinsoku w:val="0"/>
              <w:snapToGrid w:val="0"/>
            </w:pPr>
            <w:r>
              <w:rPr>
                <w:rFonts w:eastAsia="PMingLiU" w:hint="eastAsia"/>
                <w:lang w:eastAsia="zh-TW"/>
              </w:rPr>
              <w:t>獨立非執行董事</w:t>
            </w:r>
          </w:p>
        </w:tc>
      </w:tr>
      <w:tr w:rsidR="00FA3D02">
        <w:tc>
          <w:tcPr>
            <w:tcW w:w="2840" w:type="dxa"/>
          </w:tcPr>
          <w:p w:rsidR="00FA3D02" w:rsidRDefault="007163AC" w:rsidP="0012688D">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FA3D02" w:rsidRDefault="007163AC" w:rsidP="0012688D">
            <w:pPr>
              <w:kinsoku w:val="0"/>
              <w:snapToGrid w:val="0"/>
            </w:pPr>
            <w:r>
              <w:rPr>
                <w:rFonts w:eastAsia="PMingLiU" w:hint="eastAsia"/>
                <w:lang w:eastAsia="zh-TW"/>
              </w:rPr>
              <w:t>任福龍先生</w:t>
            </w:r>
          </w:p>
        </w:tc>
        <w:tc>
          <w:tcPr>
            <w:tcW w:w="2841" w:type="dxa"/>
          </w:tcPr>
          <w:p w:rsidR="00FA3D02" w:rsidRDefault="007163AC" w:rsidP="0012688D">
            <w:pPr>
              <w:kinsoku w:val="0"/>
              <w:snapToGrid w:val="0"/>
            </w:pPr>
            <w:r w:rsidRPr="00427C40">
              <w:rPr>
                <w:rFonts w:eastAsia="PMingLiU" w:hint="eastAsia"/>
                <w:lang w:eastAsia="zh-TW"/>
              </w:rPr>
              <w:t>杜冠華</w:t>
            </w:r>
            <w:r>
              <w:rPr>
                <w:rFonts w:eastAsia="PMingLiU" w:hint="eastAsia"/>
                <w:lang w:eastAsia="zh-TW"/>
              </w:rPr>
              <w:t>先生</w:t>
            </w:r>
          </w:p>
        </w:tc>
      </w:tr>
      <w:tr w:rsidR="00CC2FCF">
        <w:tc>
          <w:tcPr>
            <w:tcW w:w="2840" w:type="dxa"/>
          </w:tcPr>
          <w:p w:rsidR="00CC2FCF" w:rsidRDefault="007163AC" w:rsidP="00B467BB">
            <w:pPr>
              <w:kinsoku w:val="0"/>
              <w:snapToGrid w:val="0"/>
            </w:pPr>
            <w:r w:rsidRPr="006654A4">
              <w:rPr>
                <w:rFonts w:eastAsia="PMingLiU" w:hint="eastAsia"/>
                <w:lang w:eastAsia="zh-TW"/>
              </w:rPr>
              <w:t>杜德平先生</w:t>
            </w:r>
          </w:p>
        </w:tc>
        <w:tc>
          <w:tcPr>
            <w:tcW w:w="2841" w:type="dxa"/>
          </w:tcPr>
          <w:p w:rsidR="00CC2FCF" w:rsidRDefault="007163AC" w:rsidP="000C4A87">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CC2FCF" w:rsidRDefault="007163AC" w:rsidP="0012688D">
            <w:pPr>
              <w:kinsoku w:val="0"/>
              <w:snapToGrid w:val="0"/>
            </w:pPr>
            <w:r w:rsidRPr="00427C40">
              <w:rPr>
                <w:rFonts w:eastAsia="PMingLiU" w:hint="eastAsia"/>
                <w:lang w:eastAsia="zh-TW"/>
              </w:rPr>
              <w:t>李文明</w:t>
            </w:r>
            <w:r>
              <w:rPr>
                <w:rFonts w:eastAsia="PMingLiU" w:hint="eastAsia"/>
                <w:lang w:eastAsia="zh-TW"/>
              </w:rPr>
              <w:t>先生</w:t>
            </w:r>
          </w:p>
        </w:tc>
      </w:tr>
      <w:tr w:rsidR="00CC2FCF">
        <w:tc>
          <w:tcPr>
            <w:tcW w:w="2840" w:type="dxa"/>
          </w:tcPr>
          <w:p w:rsidR="00CC2FCF" w:rsidRDefault="00CC2FCF" w:rsidP="00B467BB">
            <w:pPr>
              <w:kinsoku w:val="0"/>
              <w:snapToGrid w:val="0"/>
            </w:pPr>
          </w:p>
        </w:tc>
        <w:tc>
          <w:tcPr>
            <w:tcW w:w="2841" w:type="dxa"/>
          </w:tcPr>
          <w:p w:rsidR="00CC2FCF" w:rsidRDefault="007163AC" w:rsidP="0012688D">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CC2FCF" w:rsidRDefault="007163AC" w:rsidP="0012688D">
            <w:pPr>
              <w:kinsoku w:val="0"/>
              <w:snapToGrid w:val="0"/>
            </w:pPr>
            <w:r w:rsidRPr="00427C40">
              <w:rPr>
                <w:rFonts w:eastAsia="PMingLiU" w:hint="eastAsia"/>
                <w:lang w:eastAsia="zh-TW"/>
              </w:rPr>
              <w:t>陳仲戟先生</w:t>
            </w:r>
          </w:p>
        </w:tc>
      </w:tr>
      <w:tr w:rsidR="00CC2FCF">
        <w:tc>
          <w:tcPr>
            <w:tcW w:w="2840" w:type="dxa"/>
          </w:tcPr>
          <w:p w:rsidR="00CC2FCF" w:rsidRDefault="00CC2FCF" w:rsidP="0012688D">
            <w:pPr>
              <w:kinsoku w:val="0"/>
              <w:snapToGrid w:val="0"/>
            </w:pPr>
          </w:p>
        </w:tc>
        <w:tc>
          <w:tcPr>
            <w:tcW w:w="2841" w:type="dxa"/>
          </w:tcPr>
          <w:p w:rsidR="00CC2FCF" w:rsidRDefault="00CC2FCF" w:rsidP="0012688D">
            <w:pPr>
              <w:kinsoku w:val="0"/>
              <w:snapToGrid w:val="0"/>
            </w:pPr>
          </w:p>
        </w:tc>
        <w:tc>
          <w:tcPr>
            <w:tcW w:w="2841" w:type="dxa"/>
          </w:tcPr>
          <w:p w:rsidR="00CC2FCF" w:rsidRDefault="00CC2FCF" w:rsidP="0012688D">
            <w:pPr>
              <w:kinsoku w:val="0"/>
              <w:snapToGrid w:val="0"/>
            </w:pPr>
          </w:p>
        </w:tc>
      </w:tr>
    </w:tbl>
    <w:p w:rsidR="00FA3D02" w:rsidRDefault="00FA3D02" w:rsidP="00FA3D02"/>
    <w:p w:rsidR="00753BFB" w:rsidRDefault="00753BFB" w:rsidP="00753BFB">
      <w:pPr>
        <w:spacing w:before="400"/>
        <w:rPr>
          <w:kern w:val="0"/>
        </w:rPr>
      </w:pPr>
    </w:p>
    <w:p w:rsidR="0049616C" w:rsidRDefault="0049616C" w:rsidP="00C905CF">
      <w:pPr>
        <w:spacing w:before="1400"/>
        <w:rPr>
          <w:kern w:val="0"/>
        </w:rPr>
      </w:pPr>
    </w:p>
    <w:p w:rsidR="00831310" w:rsidRDefault="00831310" w:rsidP="00E12508">
      <w:pPr>
        <w:ind w:firstLineChars="300" w:firstLine="630"/>
        <w:rPr>
          <w:rFonts w:ascii="宋体"/>
        </w:rPr>
      </w:pPr>
      <w:r>
        <w:rPr>
          <w:rFonts w:ascii="宋体" w:hAnsi="宋体" w:hint="eastAsia"/>
        </w:rPr>
        <w:t>证券代码：000756           证券简称：新华制药           编号：2017-10</w:t>
      </w:r>
    </w:p>
    <w:p w:rsidR="00831310" w:rsidRDefault="00831310" w:rsidP="00E12508">
      <w:pPr>
        <w:spacing w:beforeLines="50" w:after="240"/>
        <w:jc w:val="center"/>
        <w:rPr>
          <w:rFonts w:ascii="宋体"/>
          <w:b/>
          <w:sz w:val="24"/>
        </w:rPr>
      </w:pPr>
      <w:r>
        <w:rPr>
          <w:rFonts w:ascii="宋体" w:hint="eastAsia"/>
          <w:b/>
          <w:sz w:val="24"/>
        </w:rPr>
        <w:t>山东新华制药股份有限公司</w:t>
      </w:r>
    </w:p>
    <w:p w:rsidR="00831310" w:rsidRDefault="00831310" w:rsidP="00E12508">
      <w:pPr>
        <w:spacing w:beforeLines="50" w:after="240"/>
        <w:jc w:val="center"/>
        <w:rPr>
          <w:rFonts w:ascii="宋体"/>
          <w:sz w:val="24"/>
        </w:rPr>
      </w:pPr>
      <w:r>
        <w:rPr>
          <w:rFonts w:ascii="宋体" w:hint="eastAsia"/>
          <w:b/>
          <w:sz w:val="24"/>
        </w:rPr>
        <w:t>第八届董事会第十二次会议决议公告</w:t>
      </w:r>
    </w:p>
    <w:p w:rsidR="00831310" w:rsidRDefault="00831310" w:rsidP="00E12508">
      <w:pPr>
        <w:spacing w:beforeLines="50" w:after="120" w:line="320" w:lineRule="exact"/>
        <w:ind w:firstLineChars="200" w:firstLine="420"/>
        <w:rPr>
          <w:rFonts w:ascii="宋体" w:hAnsi="宋体"/>
          <w:szCs w:val="21"/>
        </w:rPr>
      </w:pPr>
      <w:r>
        <w:rPr>
          <w:rFonts w:ascii="宋体" w:hAnsi="宋体" w:hint="eastAsia"/>
          <w:szCs w:val="21"/>
        </w:rPr>
        <w:t>本公司及董事会全体成员保证信息披露的内容真实、准确、完整，没有虚假记载、误导性陈述或重大遗漏。</w:t>
      </w:r>
    </w:p>
    <w:p w:rsidR="00831310" w:rsidRDefault="00831310" w:rsidP="00E12508">
      <w:pPr>
        <w:spacing w:beforeLines="50" w:afterLines="50" w:line="300" w:lineRule="exact"/>
        <w:ind w:firstLineChars="200" w:firstLine="420"/>
        <w:rPr>
          <w:rFonts w:ascii="宋体" w:hAnsi="宋体"/>
          <w:szCs w:val="21"/>
        </w:rPr>
      </w:pPr>
      <w:r>
        <w:rPr>
          <w:rFonts w:ascii="宋体" w:hAnsi="宋体" w:hint="eastAsia"/>
          <w:szCs w:val="21"/>
        </w:rPr>
        <w:t>山东新华制药股份有限公司（“本公司”）第八届董事会第十二次会议通知于二零一七年三月三十日以书面形式发出，会议于二零一七年四月十八日在山东省淄博市高新区鲁泰大道1号公司会议室召开，应到会董事8名，实际参会董事8名。监事会成员和非董事的副总经理列席了会议。会议由董事长张代铭主持。会议的召开符合有关法律、法规、规章和公司章程的规定。</w:t>
      </w:r>
    </w:p>
    <w:p w:rsidR="00831310" w:rsidRDefault="00831310" w:rsidP="00E12508">
      <w:pPr>
        <w:spacing w:beforeLines="50" w:afterLines="50" w:line="300" w:lineRule="exact"/>
        <w:ind w:firstLineChars="200" w:firstLine="420"/>
        <w:rPr>
          <w:rFonts w:ascii="宋体" w:hAnsi="宋体"/>
          <w:szCs w:val="21"/>
        </w:rPr>
      </w:pPr>
    </w:p>
    <w:p w:rsidR="00831310" w:rsidRDefault="00831310" w:rsidP="00E12508">
      <w:pPr>
        <w:spacing w:beforeLines="50" w:afterLines="50" w:line="300" w:lineRule="exact"/>
        <w:ind w:firstLineChars="200" w:firstLine="420"/>
        <w:rPr>
          <w:rFonts w:ascii="宋体" w:hAnsi="宋体"/>
          <w:szCs w:val="21"/>
        </w:rPr>
      </w:pPr>
      <w:r>
        <w:rPr>
          <w:rFonts w:ascii="宋体" w:hAnsi="宋体" w:hint="eastAsia"/>
          <w:szCs w:val="21"/>
        </w:rPr>
        <w:t>会议主要审议并通过了以下议案：</w:t>
      </w:r>
    </w:p>
    <w:p w:rsidR="00831310" w:rsidRDefault="00831310" w:rsidP="00E12508">
      <w:pPr>
        <w:numPr>
          <w:ilvl w:val="0"/>
          <w:numId w:val="1"/>
        </w:numPr>
        <w:spacing w:beforeLines="50" w:afterLines="50" w:line="300" w:lineRule="exact"/>
        <w:ind w:firstLineChars="200" w:firstLine="420"/>
        <w:rPr>
          <w:rFonts w:ascii="宋体" w:hAnsi="宋体"/>
          <w:szCs w:val="21"/>
        </w:rPr>
      </w:pPr>
      <w:r>
        <w:rPr>
          <w:rFonts w:ascii="宋体" w:hAnsi="宋体" w:hint="eastAsia"/>
          <w:szCs w:val="21"/>
        </w:rPr>
        <w:t xml:space="preserve">批准本公司二零一七年第一季度（见同日发布于《证券时报》及巨潮资讯网公告）； </w:t>
      </w:r>
    </w:p>
    <w:p w:rsidR="00831310" w:rsidRDefault="00831310" w:rsidP="00E12508">
      <w:pPr>
        <w:spacing w:beforeLines="50" w:afterLines="50" w:line="300" w:lineRule="exact"/>
        <w:ind w:firstLineChars="200" w:firstLine="420"/>
        <w:rPr>
          <w:rFonts w:ascii="宋体" w:hAnsi="宋体"/>
          <w:szCs w:val="21"/>
        </w:rPr>
      </w:pPr>
      <w:r>
        <w:rPr>
          <w:rFonts w:ascii="宋体" w:hAnsi="宋体" w:hint="eastAsia"/>
          <w:szCs w:val="21"/>
        </w:rPr>
        <w:t>8名董事赞成本议案，0票反对，0票弃权。</w:t>
      </w:r>
    </w:p>
    <w:p w:rsidR="00831310" w:rsidRDefault="00831310" w:rsidP="00E12508">
      <w:pPr>
        <w:spacing w:beforeLines="50" w:afterLines="50" w:line="300" w:lineRule="exact"/>
        <w:ind w:firstLineChars="200" w:firstLine="420"/>
        <w:rPr>
          <w:rFonts w:ascii="宋体" w:hAnsi="宋体"/>
          <w:szCs w:val="21"/>
        </w:rPr>
      </w:pPr>
      <w:r>
        <w:rPr>
          <w:rFonts w:ascii="宋体" w:hAnsi="宋体" w:hint="eastAsia"/>
          <w:szCs w:val="21"/>
        </w:rPr>
        <w:t>二、审议通过关于召开二零一六年周年股东大会的议案（股东大会通知将另行公告）；</w:t>
      </w:r>
    </w:p>
    <w:p w:rsidR="00831310" w:rsidRDefault="00831310" w:rsidP="00E12508">
      <w:pPr>
        <w:spacing w:beforeLines="50" w:afterLines="50" w:line="300" w:lineRule="exact"/>
        <w:ind w:firstLineChars="200" w:firstLine="420"/>
        <w:rPr>
          <w:rFonts w:ascii="宋体" w:hAnsi="宋体"/>
          <w:szCs w:val="21"/>
        </w:rPr>
      </w:pPr>
      <w:r>
        <w:rPr>
          <w:rFonts w:ascii="宋体" w:hAnsi="宋体" w:hint="eastAsia"/>
          <w:szCs w:val="21"/>
        </w:rPr>
        <w:t>8名董事赞成本议案，0票反对，0票弃权。</w:t>
      </w:r>
    </w:p>
    <w:p w:rsidR="00831310" w:rsidRDefault="00831310" w:rsidP="00E12508">
      <w:pPr>
        <w:spacing w:beforeLines="50" w:afterLines="50" w:line="300" w:lineRule="exact"/>
        <w:ind w:firstLineChars="200" w:firstLine="420"/>
        <w:rPr>
          <w:rFonts w:ascii="宋体" w:hAnsi="宋体"/>
          <w:szCs w:val="21"/>
        </w:rPr>
      </w:pPr>
    </w:p>
    <w:p w:rsidR="00831310" w:rsidRDefault="00831310" w:rsidP="00E12508">
      <w:pPr>
        <w:spacing w:beforeLines="50" w:afterLines="50" w:line="300" w:lineRule="exact"/>
        <w:ind w:firstLineChars="200" w:firstLine="420"/>
        <w:rPr>
          <w:rFonts w:ascii="宋体" w:hAnsi="宋体"/>
          <w:szCs w:val="21"/>
        </w:rPr>
      </w:pPr>
      <w:r>
        <w:rPr>
          <w:rFonts w:ascii="宋体" w:hAnsi="宋体" w:hint="eastAsia"/>
          <w:szCs w:val="21"/>
        </w:rPr>
        <w:t>特此公告</w:t>
      </w:r>
    </w:p>
    <w:p w:rsidR="00831310" w:rsidRDefault="00831310" w:rsidP="00E12508">
      <w:pPr>
        <w:spacing w:beforeLines="50" w:afterLines="50" w:line="300" w:lineRule="exact"/>
        <w:ind w:firstLineChars="200" w:firstLine="420"/>
        <w:rPr>
          <w:rFonts w:ascii="宋体" w:hAnsi="宋体"/>
          <w:szCs w:val="21"/>
        </w:rPr>
      </w:pPr>
    </w:p>
    <w:p w:rsidR="00831310" w:rsidRDefault="00831310" w:rsidP="00E12508">
      <w:pPr>
        <w:spacing w:beforeLines="50" w:afterLines="50" w:line="300" w:lineRule="exact"/>
        <w:ind w:firstLineChars="200" w:firstLine="420"/>
        <w:rPr>
          <w:rFonts w:ascii="宋体" w:hAnsi="宋体"/>
          <w:szCs w:val="21"/>
        </w:rPr>
      </w:pPr>
    </w:p>
    <w:p w:rsidR="00831310" w:rsidRDefault="00831310" w:rsidP="00E12508">
      <w:pPr>
        <w:spacing w:beforeLines="50" w:after="120" w:line="300" w:lineRule="exact"/>
        <w:ind w:firstLineChars="1900" w:firstLine="3990"/>
        <w:rPr>
          <w:rFonts w:ascii="宋体" w:hAnsi="宋体"/>
          <w:szCs w:val="21"/>
        </w:rPr>
      </w:pPr>
      <w:r>
        <w:rPr>
          <w:rFonts w:ascii="宋体" w:hAnsi="宋体" w:hint="eastAsia"/>
          <w:szCs w:val="21"/>
        </w:rPr>
        <w:t xml:space="preserve">   山东新华制药股份有限公司董事会</w:t>
      </w:r>
    </w:p>
    <w:p w:rsidR="00831310" w:rsidRDefault="00831310" w:rsidP="00E12508">
      <w:pPr>
        <w:spacing w:beforeLines="50" w:after="120" w:line="300" w:lineRule="exact"/>
        <w:ind w:firstLine="480"/>
        <w:rPr>
          <w:rFonts w:ascii="宋体" w:hAnsi="宋体"/>
          <w:szCs w:val="21"/>
        </w:rPr>
      </w:pPr>
      <w:r>
        <w:rPr>
          <w:rFonts w:ascii="宋体" w:hAnsi="宋体" w:hint="eastAsia"/>
          <w:szCs w:val="21"/>
        </w:rPr>
        <w:t xml:space="preserve">                                          二零一七年四月十八日</w:t>
      </w:r>
    </w:p>
    <w:p w:rsidR="00831310" w:rsidRDefault="00BE207E" w:rsidP="00831310">
      <w:pPr>
        <w:spacing w:before="1400"/>
        <w:jc w:val="center"/>
        <w:rPr>
          <w:b/>
          <w:bCs/>
          <w:sz w:val="36"/>
          <w:szCs w:val="36"/>
        </w:rPr>
      </w:pPr>
      <w:r>
        <w:br w:type="page"/>
      </w:r>
      <w:r w:rsidR="00831310">
        <w:rPr>
          <w:rFonts w:hint="eastAsia"/>
          <w:b/>
          <w:bCs/>
          <w:sz w:val="36"/>
          <w:szCs w:val="36"/>
        </w:rPr>
        <w:t>山东新华制药股份有限公司</w:t>
      </w:r>
    </w:p>
    <w:p w:rsidR="00831310" w:rsidRDefault="00831310" w:rsidP="00831310">
      <w:pPr>
        <w:spacing w:before="400"/>
        <w:jc w:val="center"/>
        <w:rPr>
          <w:b/>
          <w:bCs/>
          <w:sz w:val="32"/>
          <w:szCs w:val="32"/>
        </w:rPr>
      </w:pPr>
      <w:r>
        <w:rPr>
          <w:b/>
          <w:bCs/>
          <w:sz w:val="32"/>
          <w:szCs w:val="32"/>
        </w:rPr>
        <w:t>2017</w:t>
      </w:r>
      <w:r>
        <w:rPr>
          <w:rFonts w:hint="eastAsia"/>
          <w:b/>
          <w:bCs/>
          <w:sz w:val="32"/>
          <w:szCs w:val="32"/>
        </w:rPr>
        <w:t>年第一季度报告</w:t>
      </w:r>
    </w:p>
    <w:p w:rsidR="00831310" w:rsidRDefault="00831310" w:rsidP="00831310">
      <w:pPr>
        <w:spacing w:before="6000"/>
        <w:jc w:val="center"/>
        <w:rPr>
          <w:b/>
          <w:bCs/>
          <w:sz w:val="32"/>
          <w:szCs w:val="32"/>
        </w:rPr>
      </w:pPr>
      <w:r>
        <w:rPr>
          <w:b/>
          <w:bCs/>
          <w:sz w:val="32"/>
          <w:szCs w:val="32"/>
        </w:rPr>
        <w:t>2017</w:t>
      </w:r>
      <w:r>
        <w:rPr>
          <w:rFonts w:hint="eastAsia"/>
          <w:b/>
          <w:bCs/>
          <w:sz w:val="32"/>
          <w:szCs w:val="32"/>
        </w:rPr>
        <w:t>年</w:t>
      </w:r>
      <w:r>
        <w:rPr>
          <w:b/>
          <w:bCs/>
          <w:sz w:val="32"/>
          <w:szCs w:val="32"/>
        </w:rPr>
        <w:t>04</w:t>
      </w:r>
      <w:r>
        <w:rPr>
          <w:rFonts w:hint="eastAsia"/>
          <w:b/>
          <w:bCs/>
          <w:sz w:val="32"/>
          <w:szCs w:val="32"/>
        </w:rPr>
        <w:t>月</w:t>
      </w:r>
    </w:p>
    <w:p w:rsidR="0049616C" w:rsidRPr="0049616C" w:rsidRDefault="0049616C" w:rsidP="0049616C"/>
    <w:p w:rsidR="00831310" w:rsidRDefault="00831310" w:rsidP="00831310">
      <w:pPr>
        <w:pStyle w:val="a9"/>
        <w:outlineLvl w:val="0"/>
      </w:pPr>
      <w:r>
        <w:br w:type="page"/>
      </w:r>
      <w:bookmarkStart w:id="1" w:name="_Toc300000084"/>
      <w:r>
        <w:rPr>
          <w:rFonts w:hint="eastAsia"/>
        </w:rPr>
        <w:t>第一节</w:t>
      </w:r>
      <w:r>
        <w:t xml:space="preserve"> </w:t>
      </w:r>
      <w:r>
        <w:rPr>
          <w:rFonts w:hint="eastAsia"/>
        </w:rPr>
        <w:t>重要提示</w:t>
      </w:r>
      <w:bookmarkEnd w:id="1"/>
    </w:p>
    <w:p w:rsidR="00831310" w:rsidRDefault="00831310" w:rsidP="00831310">
      <w:pPr>
        <w:spacing w:before="100" w:after="100"/>
        <w:ind w:firstLineChars="200" w:firstLine="562"/>
        <w:rPr>
          <w:b/>
          <w:bCs/>
          <w:sz w:val="28"/>
          <w:szCs w:val="28"/>
        </w:rPr>
      </w:pPr>
      <w:r>
        <w:rPr>
          <w:rFonts w:hint="eastAsia"/>
          <w:b/>
          <w:bCs/>
          <w:sz w:val="28"/>
          <w:szCs w:val="28"/>
        </w:rPr>
        <w:t>公司董事会、监事会及董事、监事、高级管理人员保证季度报告内容的真实、准确、完整，不存在虚假记载、误导性陈述或者重大遗漏，并承担个别和连带的法律责任。</w:t>
      </w:r>
    </w:p>
    <w:p w:rsidR="00831310" w:rsidRDefault="00831310" w:rsidP="00831310">
      <w:pPr>
        <w:spacing w:before="100" w:after="100"/>
        <w:ind w:firstLineChars="200" w:firstLine="562"/>
        <w:rPr>
          <w:b/>
          <w:bCs/>
          <w:sz w:val="28"/>
          <w:szCs w:val="28"/>
        </w:rPr>
      </w:pPr>
      <w:r>
        <w:rPr>
          <w:rFonts w:hint="eastAsia"/>
          <w:b/>
          <w:bCs/>
          <w:sz w:val="28"/>
          <w:szCs w:val="28"/>
        </w:rPr>
        <w:t>所有董事均</w:t>
      </w:r>
      <w:proofErr w:type="gramStart"/>
      <w:r>
        <w:rPr>
          <w:rFonts w:hint="eastAsia"/>
          <w:b/>
          <w:bCs/>
          <w:sz w:val="28"/>
          <w:szCs w:val="28"/>
        </w:rPr>
        <w:t>已出席</w:t>
      </w:r>
      <w:proofErr w:type="gramEnd"/>
      <w:r>
        <w:rPr>
          <w:rFonts w:hint="eastAsia"/>
          <w:b/>
          <w:bCs/>
          <w:sz w:val="28"/>
          <w:szCs w:val="28"/>
        </w:rPr>
        <w:t>了审议本次季报的董事会会议。</w:t>
      </w:r>
    </w:p>
    <w:p w:rsidR="00831310" w:rsidRDefault="00831310" w:rsidP="00831310">
      <w:pPr>
        <w:spacing w:before="100" w:after="100"/>
        <w:ind w:firstLineChars="200" w:firstLine="562"/>
        <w:rPr>
          <w:b/>
          <w:bCs/>
          <w:sz w:val="28"/>
          <w:szCs w:val="28"/>
        </w:rPr>
      </w:pPr>
      <w:r>
        <w:rPr>
          <w:rFonts w:hint="eastAsia"/>
          <w:b/>
          <w:bCs/>
          <w:sz w:val="28"/>
          <w:szCs w:val="28"/>
        </w:rPr>
        <w:t>公司负责人张代铭、主管会计工作负责人侯宁及会计机构负责人</w:t>
      </w:r>
      <w:r>
        <w:rPr>
          <w:b/>
          <w:bCs/>
          <w:sz w:val="28"/>
          <w:szCs w:val="28"/>
        </w:rPr>
        <w:t>(</w:t>
      </w:r>
      <w:r>
        <w:rPr>
          <w:rFonts w:hint="eastAsia"/>
          <w:b/>
          <w:bCs/>
          <w:sz w:val="28"/>
          <w:szCs w:val="28"/>
        </w:rPr>
        <w:t>会计主管人员</w:t>
      </w:r>
      <w:r>
        <w:rPr>
          <w:b/>
          <w:bCs/>
          <w:sz w:val="28"/>
          <w:szCs w:val="28"/>
        </w:rPr>
        <w:t>)</w:t>
      </w:r>
      <w:proofErr w:type="gramStart"/>
      <w:r>
        <w:rPr>
          <w:rFonts w:hint="eastAsia"/>
          <w:b/>
          <w:bCs/>
          <w:sz w:val="28"/>
          <w:szCs w:val="28"/>
        </w:rPr>
        <w:t>何晓洪声明</w:t>
      </w:r>
      <w:proofErr w:type="gramEnd"/>
      <w:r>
        <w:rPr>
          <w:rFonts w:hint="eastAsia"/>
          <w:b/>
          <w:bCs/>
          <w:sz w:val="28"/>
          <w:szCs w:val="28"/>
        </w:rPr>
        <w:t>：保证季度报告中财务报表的真实、准确、完整。</w:t>
      </w:r>
    </w:p>
    <w:p w:rsidR="00831310" w:rsidRDefault="00831310" w:rsidP="00831310">
      <w:pPr>
        <w:spacing w:before="100" w:after="100"/>
        <w:ind w:firstLineChars="200" w:firstLine="562"/>
        <w:rPr>
          <w:b/>
          <w:bCs/>
          <w:sz w:val="28"/>
          <w:szCs w:val="28"/>
        </w:rPr>
        <w:sectPr w:rsidR="00831310">
          <w:pgSz w:w="11906" w:h="16838"/>
          <w:pgMar w:top="1440" w:right="1134" w:bottom="1440" w:left="1134" w:header="851" w:footer="992" w:gutter="0"/>
          <w:cols w:space="720"/>
          <w:docGrid w:type="lines" w:linePitch="312"/>
        </w:sectPr>
      </w:pPr>
    </w:p>
    <w:p w:rsidR="00831310" w:rsidRDefault="00831310" w:rsidP="00831310">
      <w:pPr>
        <w:pStyle w:val="a9"/>
        <w:outlineLvl w:val="0"/>
      </w:pPr>
      <w:bookmarkStart w:id="2" w:name="_Toc300000085"/>
      <w:r>
        <w:rPr>
          <w:rFonts w:hint="eastAsia"/>
        </w:rPr>
        <w:t>第二节</w:t>
      </w:r>
      <w:r>
        <w:t xml:space="preserve"> </w:t>
      </w:r>
      <w:r>
        <w:rPr>
          <w:rFonts w:hint="eastAsia"/>
        </w:rPr>
        <w:t>公司基本情况</w:t>
      </w:r>
      <w:bookmarkEnd w:id="2"/>
    </w:p>
    <w:p w:rsidR="00831310" w:rsidRDefault="00831310" w:rsidP="00831310">
      <w:pPr>
        <w:pStyle w:val="Chapter"/>
        <w:outlineLvl w:val="1"/>
      </w:pPr>
      <w:r>
        <w:rPr>
          <w:rFonts w:hint="eastAsia"/>
        </w:rPr>
        <w:t>一、主要会计数据和财务指标</w:t>
      </w:r>
    </w:p>
    <w:p w:rsidR="00831310" w:rsidRDefault="00831310" w:rsidP="00831310">
      <w:pPr>
        <w:jc w:val="left"/>
      </w:pPr>
      <w:r>
        <w:rPr>
          <w:rFonts w:hint="eastAsia"/>
        </w:rPr>
        <w:t>公司是否因会计政策变更及会计差错更正等追溯调整或重述以前年度会计数据</w:t>
      </w:r>
    </w:p>
    <w:p w:rsidR="00831310" w:rsidRDefault="00831310" w:rsidP="00831310">
      <w:pPr>
        <w:jc w:val="left"/>
      </w:pPr>
      <w:r>
        <w:rPr>
          <w:rFonts w:hint="eastAsia"/>
        </w:rPr>
        <w:t>□</w:t>
      </w:r>
      <w:r>
        <w:t xml:space="preserve"> </w:t>
      </w:r>
      <w:r>
        <w:rPr>
          <w:rFonts w:hint="eastAsia"/>
        </w:rPr>
        <w:t>是</w:t>
      </w:r>
      <w:r>
        <w:t xml:space="preserve"> </w:t>
      </w:r>
      <w:r>
        <w:rPr>
          <w:rFonts w:hint="eastAsia"/>
        </w:rPr>
        <w:t>√</w:t>
      </w:r>
      <w:r>
        <w:t xml:space="preserve"> </w:t>
      </w:r>
      <w:r>
        <w:rPr>
          <w:rFonts w:hint="eastAsia"/>
        </w:rPr>
        <w:t>否</w:t>
      </w:r>
      <w:r>
        <w:t xml:space="preserve"> </w:t>
      </w:r>
    </w:p>
    <w:tbl>
      <w:tblPr>
        <w:tblW w:w="0" w:type="auto"/>
        <w:tblInd w:w="108" w:type="dxa"/>
        <w:tblLayout w:type="fixed"/>
        <w:tblLook w:val="0000"/>
      </w:tblPr>
      <w:tblGrid>
        <w:gridCol w:w="3203"/>
        <w:gridCol w:w="2122"/>
        <w:gridCol w:w="2122"/>
        <w:gridCol w:w="2122"/>
      </w:tblGrid>
      <w:tr w:rsidR="00831310" w:rsidTr="00831310">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本报告期</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上年同期</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本报告期比上年同期增减</w:t>
            </w:r>
          </w:p>
        </w:tc>
      </w:tr>
      <w:tr w:rsidR="00831310" w:rsidTr="00831310">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营业收入（元）</w:t>
            </w:r>
          </w:p>
        </w:tc>
        <w:tc>
          <w:tcPr>
            <w:tcW w:w="2122" w:type="dxa"/>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1,295,383,415.66</w:t>
            </w:r>
          </w:p>
        </w:tc>
        <w:tc>
          <w:tcPr>
            <w:tcW w:w="2122" w:type="dxa"/>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1,004,837,793.33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28.91%</w:t>
            </w:r>
          </w:p>
        </w:tc>
      </w:tr>
      <w:tr w:rsidR="00831310" w:rsidTr="00831310">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归属于上市公司股东的净利润（元）</w:t>
            </w:r>
          </w:p>
        </w:tc>
        <w:tc>
          <w:tcPr>
            <w:tcW w:w="2122" w:type="dxa"/>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51,550,425.89</w:t>
            </w:r>
          </w:p>
        </w:tc>
        <w:tc>
          <w:tcPr>
            <w:tcW w:w="2122" w:type="dxa"/>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20,296,756.30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153.98%</w:t>
            </w:r>
          </w:p>
        </w:tc>
      </w:tr>
      <w:tr w:rsidR="00831310" w:rsidTr="00831310">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归属于上市公司股东的扣除非经常性损益的净利润（元）</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42,672,569.90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20,924,190.86</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103.94%</w:t>
            </w:r>
          </w:p>
        </w:tc>
      </w:tr>
      <w:tr w:rsidR="00831310" w:rsidTr="00831310">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经营活动产生的现金流量净额（元）</w:t>
            </w:r>
          </w:p>
        </w:tc>
        <w:tc>
          <w:tcPr>
            <w:tcW w:w="2122" w:type="dxa"/>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54,305,762.76</w:t>
            </w:r>
          </w:p>
        </w:tc>
        <w:tc>
          <w:tcPr>
            <w:tcW w:w="2122" w:type="dxa"/>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47,488,815.21</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14.35%</w:t>
            </w:r>
          </w:p>
        </w:tc>
      </w:tr>
      <w:tr w:rsidR="00831310" w:rsidTr="00831310">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基本每股收益（元</w:t>
            </w:r>
            <w:r>
              <w:t>/</w:t>
            </w:r>
            <w:r>
              <w:rPr>
                <w:rFonts w:hint="eastAsia"/>
              </w:rPr>
              <w:t>股）</w:t>
            </w:r>
          </w:p>
        </w:tc>
        <w:tc>
          <w:tcPr>
            <w:tcW w:w="2122" w:type="dxa"/>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0.11</w:t>
            </w:r>
          </w:p>
        </w:tc>
        <w:tc>
          <w:tcPr>
            <w:tcW w:w="2122" w:type="dxa"/>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0.04</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175.00%</w:t>
            </w:r>
          </w:p>
        </w:tc>
      </w:tr>
      <w:tr w:rsidR="00831310" w:rsidTr="00831310">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稀释每股收益（元</w:t>
            </w:r>
            <w:r>
              <w:t>/</w:t>
            </w:r>
            <w:r>
              <w:rPr>
                <w:rFonts w:hint="eastAsia"/>
              </w:rPr>
              <w:t>股）</w:t>
            </w:r>
          </w:p>
        </w:tc>
        <w:tc>
          <w:tcPr>
            <w:tcW w:w="2122" w:type="dxa"/>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0.11</w:t>
            </w:r>
          </w:p>
        </w:tc>
        <w:tc>
          <w:tcPr>
            <w:tcW w:w="2122" w:type="dxa"/>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0.04</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175.00%</w:t>
            </w:r>
          </w:p>
        </w:tc>
      </w:tr>
      <w:tr w:rsidR="00831310" w:rsidTr="00831310">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加权平均净资产收益率</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2.56%</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1.07%</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rPr>
                <w:rFonts w:hint="eastAsia"/>
              </w:rPr>
              <w:t>上升</w:t>
            </w:r>
            <w:r>
              <w:t>1.49</w:t>
            </w:r>
            <w:r>
              <w:rPr>
                <w:rFonts w:hint="eastAsia"/>
              </w:rPr>
              <w:t>个百分点</w:t>
            </w:r>
          </w:p>
        </w:tc>
      </w:tr>
      <w:tr w:rsidR="00831310" w:rsidTr="00831310">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本报告期末</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上年度末</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本报告期末比上年度末增减</w:t>
            </w:r>
          </w:p>
        </w:tc>
      </w:tr>
      <w:tr w:rsidR="00831310" w:rsidTr="00831310">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总资产（元）</w:t>
            </w:r>
          </w:p>
        </w:tc>
        <w:tc>
          <w:tcPr>
            <w:tcW w:w="2122" w:type="dxa"/>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4,847,044,602.36</w:t>
            </w:r>
          </w:p>
        </w:tc>
        <w:tc>
          <w:tcPr>
            <w:tcW w:w="2122" w:type="dxa"/>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4,722,785,963.84</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2.63%</w:t>
            </w:r>
          </w:p>
        </w:tc>
      </w:tr>
      <w:tr w:rsidR="00831310" w:rsidTr="00831310">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归属于上市公司股东的净资产（元）</w:t>
            </w:r>
          </w:p>
        </w:tc>
        <w:tc>
          <w:tcPr>
            <w:tcW w:w="2122" w:type="dxa"/>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2,041,574,025.50</w:t>
            </w:r>
          </w:p>
        </w:tc>
        <w:tc>
          <w:tcPr>
            <w:tcW w:w="2122" w:type="dxa"/>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1,988,419,824.33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2.67%</w:t>
            </w:r>
          </w:p>
        </w:tc>
      </w:tr>
    </w:tbl>
    <w:p w:rsidR="00831310" w:rsidRDefault="00831310" w:rsidP="00831310">
      <w:pPr>
        <w:jc w:val="left"/>
      </w:pPr>
      <w:r>
        <w:rPr>
          <w:rFonts w:hint="eastAsia"/>
        </w:rPr>
        <w:t>非经常性损益项目和金额</w:t>
      </w:r>
    </w:p>
    <w:p w:rsidR="00831310" w:rsidRDefault="00831310" w:rsidP="00831310">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831310" w:rsidRDefault="00831310" w:rsidP="00831310">
      <w:pPr>
        <w:jc w:val="right"/>
      </w:pPr>
      <w:r>
        <w:rPr>
          <w:rFonts w:hint="eastAsia"/>
        </w:rPr>
        <w:t>单位：元</w:t>
      </w:r>
    </w:p>
    <w:tbl>
      <w:tblPr>
        <w:tblW w:w="0" w:type="auto"/>
        <w:tblInd w:w="108" w:type="dxa"/>
        <w:tblLayout w:type="fixed"/>
        <w:tblLook w:val="0000"/>
      </w:tblPr>
      <w:tblGrid>
        <w:gridCol w:w="4832"/>
        <w:gridCol w:w="2230"/>
        <w:gridCol w:w="2506"/>
      </w:tblGrid>
      <w:tr w:rsidR="00831310" w:rsidTr="00831310">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项目</w:t>
            </w:r>
          </w:p>
        </w:tc>
        <w:tc>
          <w:tcPr>
            <w:tcW w:w="223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年初</w:t>
            </w:r>
            <w:proofErr w:type="gramStart"/>
            <w:r>
              <w:rPr>
                <w:rFonts w:hint="eastAsia"/>
              </w:rPr>
              <w:t>至报告</w:t>
            </w:r>
            <w:proofErr w:type="gramEnd"/>
            <w:r>
              <w:rPr>
                <w:rFonts w:hint="eastAsia"/>
              </w:rPr>
              <w:t>期期末金额</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说明</w:t>
            </w:r>
          </w:p>
        </w:tc>
      </w:tr>
      <w:tr w:rsidR="00831310" w:rsidTr="00831310">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非流动资产处置损益（包括已计提资产减值准备的冲销部分）</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7,682,682.96</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rPr>
                <w:rFonts w:hint="eastAsia"/>
              </w:rPr>
              <w:t>处置固定资产损益</w:t>
            </w:r>
          </w:p>
        </w:tc>
      </w:tr>
      <w:tr w:rsidR="00831310" w:rsidTr="00831310">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计入当期损益的政府补助（与企业业务密切相关，按照国家统一标准定额或定量享受的政府补助除外）</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4,324,176.94</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rPr>
                <w:rFonts w:hint="eastAsia"/>
              </w:rPr>
              <w:t>收到及摊销的计入当期损益的政府补助</w:t>
            </w:r>
          </w:p>
        </w:tc>
      </w:tr>
      <w:tr w:rsidR="00831310" w:rsidTr="00831310">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50,054.83</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p>
        </w:tc>
      </w:tr>
      <w:tr w:rsidR="00831310" w:rsidTr="00831310">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除上述各项之外的其他营业外收入和支出</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-1,699,671.03</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p>
        </w:tc>
      </w:tr>
      <w:tr w:rsidR="00831310" w:rsidTr="00831310">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减：所得税影响额</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1,464,985.30</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p>
        </w:tc>
      </w:tr>
      <w:tr w:rsidR="00831310" w:rsidTr="00831310">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少数股东权益影响额（税后）</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14,402.41</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p>
        </w:tc>
      </w:tr>
      <w:tr w:rsidR="00831310" w:rsidTr="00831310">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合计</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8,877,855.99</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t>--</w:t>
            </w:r>
          </w:p>
        </w:tc>
      </w:tr>
    </w:tbl>
    <w:p w:rsidR="00831310" w:rsidRDefault="00831310" w:rsidP="00831310">
      <w:pPr>
        <w:jc w:val="left"/>
      </w:pPr>
      <w:r>
        <w:rPr>
          <w:rFonts w:hint="eastAsia"/>
        </w:rPr>
        <w:t>对公司根据《公开发行证券的公司信息披露解释性公告第</w:t>
      </w:r>
      <w:r>
        <w:t>1</w:t>
      </w:r>
      <w:r>
        <w:rPr>
          <w:rFonts w:hint="eastAsia"/>
        </w:rPr>
        <w:t>号</w:t>
      </w:r>
      <w:r>
        <w:t>——</w:t>
      </w:r>
      <w:r>
        <w:rPr>
          <w:rFonts w:hint="eastAsia"/>
        </w:rPr>
        <w:t>非经常性损益》定义界定的非经常性损益项目，以及把《公开发行证券的公司信息披露解释性公告第</w:t>
      </w:r>
      <w:r>
        <w:t>1</w:t>
      </w:r>
      <w:r>
        <w:rPr>
          <w:rFonts w:hint="eastAsia"/>
        </w:rPr>
        <w:t>号</w:t>
      </w:r>
      <w:r>
        <w:t>——</w:t>
      </w:r>
      <w:r>
        <w:rPr>
          <w:rFonts w:hint="eastAsia"/>
        </w:rPr>
        <w:t>非经常性损益》中列举的非经常性损益项目界定为经常性损益的项目，应说明原因</w:t>
      </w:r>
    </w:p>
    <w:p w:rsidR="00831310" w:rsidRDefault="00831310" w:rsidP="00831310">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831310" w:rsidRDefault="00831310" w:rsidP="00831310">
      <w:pPr>
        <w:jc w:val="left"/>
      </w:pPr>
      <w:r>
        <w:rPr>
          <w:rFonts w:hint="eastAsia"/>
        </w:rPr>
        <w:t>公司报告期不存在将根据《公开发行证券的公司信息披露解释性公告第</w:t>
      </w:r>
      <w:r>
        <w:t>1</w:t>
      </w:r>
      <w:r>
        <w:rPr>
          <w:rFonts w:hint="eastAsia"/>
        </w:rPr>
        <w:t>号</w:t>
      </w:r>
      <w:r>
        <w:t>——</w:t>
      </w:r>
      <w:r>
        <w:rPr>
          <w:rFonts w:hint="eastAsia"/>
        </w:rPr>
        <w:t>非经常性损益》定义、列举的非经常性损益项目界定为经常性损益的项目的情形。</w:t>
      </w:r>
    </w:p>
    <w:p w:rsidR="00831310" w:rsidRDefault="00831310" w:rsidP="00831310">
      <w:pPr>
        <w:pStyle w:val="Chapter"/>
        <w:outlineLvl w:val="1"/>
      </w:pPr>
      <w:r>
        <w:rPr>
          <w:rFonts w:hint="eastAsia"/>
        </w:rPr>
        <w:t>二、报告期末股东总数及前十名股东持股情况表</w:t>
      </w:r>
    </w:p>
    <w:p w:rsidR="00831310" w:rsidRDefault="00831310" w:rsidP="00831310">
      <w:pPr>
        <w:pStyle w:val="Section"/>
        <w:outlineLvl w:val="2"/>
      </w:pPr>
      <w:r>
        <w:t>1</w:t>
      </w:r>
      <w:r>
        <w:rPr>
          <w:rFonts w:hint="eastAsia"/>
        </w:rPr>
        <w:t>、普通股股东总数和表决权恢复的优先股股东数量及前</w:t>
      </w:r>
      <w:r>
        <w:t>10</w:t>
      </w:r>
      <w:r>
        <w:rPr>
          <w:rFonts w:hint="eastAsia"/>
        </w:rPr>
        <w:t>名股东持股情况表</w:t>
      </w:r>
    </w:p>
    <w:p w:rsidR="00831310" w:rsidRDefault="00831310" w:rsidP="00831310">
      <w:pPr>
        <w:jc w:val="right"/>
      </w:pPr>
      <w:r>
        <w:rPr>
          <w:rFonts w:hint="eastAsia"/>
        </w:rPr>
        <w:t>单位：股</w:t>
      </w:r>
    </w:p>
    <w:tbl>
      <w:tblPr>
        <w:tblW w:w="0" w:type="auto"/>
        <w:tblInd w:w="108" w:type="dxa"/>
        <w:tblLayout w:type="fixed"/>
        <w:tblLook w:val="0000"/>
      </w:tblPr>
      <w:tblGrid>
        <w:gridCol w:w="1364"/>
        <w:gridCol w:w="1368"/>
        <w:gridCol w:w="1368"/>
        <w:gridCol w:w="911"/>
        <w:gridCol w:w="456"/>
        <w:gridCol w:w="1368"/>
        <w:gridCol w:w="456"/>
        <w:gridCol w:w="911"/>
        <w:gridCol w:w="1368"/>
      </w:tblGrid>
      <w:tr w:rsidR="00831310" w:rsidTr="00831310">
        <w:tc>
          <w:tcPr>
            <w:tcW w:w="273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报告期末普通股股东总数</w:t>
            </w:r>
          </w:p>
        </w:tc>
        <w:tc>
          <w:tcPr>
            <w:tcW w:w="2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23,150</w:t>
            </w:r>
          </w:p>
        </w:tc>
        <w:tc>
          <w:tcPr>
            <w:tcW w:w="228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报告期末表决权恢复的优先股股东总数（如有）</w:t>
            </w:r>
          </w:p>
        </w:tc>
        <w:tc>
          <w:tcPr>
            <w:tcW w:w="2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w:t>
            </w:r>
          </w:p>
        </w:tc>
      </w:tr>
      <w:tr w:rsidR="00831310" w:rsidTr="00831310">
        <w:tc>
          <w:tcPr>
            <w:tcW w:w="9570"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前</w:t>
            </w:r>
            <w:r>
              <w:t>10</w:t>
            </w:r>
            <w:r>
              <w:rPr>
                <w:rFonts w:hint="eastAsia"/>
              </w:rPr>
              <w:t>名股东持股情况</w:t>
            </w:r>
          </w:p>
        </w:tc>
      </w:tr>
      <w:tr w:rsidR="00831310" w:rsidTr="00831310">
        <w:tc>
          <w:tcPr>
            <w:tcW w:w="136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股东名称</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股东性质</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持股比例</w:t>
            </w:r>
          </w:p>
        </w:tc>
        <w:tc>
          <w:tcPr>
            <w:tcW w:w="1367"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持股数量</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持有有限</w:t>
            </w:r>
            <w:proofErr w:type="gramStart"/>
            <w:r>
              <w:rPr>
                <w:rFonts w:hint="eastAsia"/>
              </w:rPr>
              <w:t>售条件</w:t>
            </w:r>
            <w:proofErr w:type="gramEnd"/>
            <w:r>
              <w:rPr>
                <w:rFonts w:hint="eastAsia"/>
              </w:rPr>
              <w:t>的股份数量</w:t>
            </w:r>
          </w:p>
        </w:tc>
        <w:tc>
          <w:tcPr>
            <w:tcW w:w="273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质押或冻结情况</w:t>
            </w:r>
          </w:p>
        </w:tc>
      </w:tr>
      <w:tr w:rsidR="00831310" w:rsidTr="00831310">
        <w:tc>
          <w:tcPr>
            <w:tcW w:w="1364" w:type="dxa"/>
            <w:vMerge/>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center"/>
            </w:pPr>
          </w:p>
        </w:tc>
        <w:tc>
          <w:tcPr>
            <w:tcW w:w="1368" w:type="dxa"/>
            <w:vMerge/>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center"/>
            </w:pPr>
          </w:p>
        </w:tc>
        <w:tc>
          <w:tcPr>
            <w:tcW w:w="1368" w:type="dxa"/>
            <w:vMerge/>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center"/>
            </w:pPr>
          </w:p>
        </w:tc>
        <w:tc>
          <w:tcPr>
            <w:tcW w:w="1367" w:type="dxa"/>
            <w:gridSpan w:val="2"/>
            <w:vMerge/>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center"/>
            </w:pPr>
          </w:p>
        </w:tc>
        <w:tc>
          <w:tcPr>
            <w:tcW w:w="1368" w:type="dxa"/>
            <w:vMerge/>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cente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股份状态</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数量</w:t>
            </w:r>
          </w:p>
        </w:tc>
      </w:tr>
      <w:tr w:rsidR="00831310" w:rsidTr="00831310">
        <w:tc>
          <w:tcPr>
            <w:tcW w:w="1364"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山东新华医药集团有限责任公司</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国家</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34.46%</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157,587,763</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r>
      <w:tr w:rsidR="00831310" w:rsidTr="00831310">
        <w:tc>
          <w:tcPr>
            <w:tcW w:w="1364"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香港中央结算（代理人）有限公司</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32.56%</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148,883,598</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r>
      <w:tr w:rsidR="00831310" w:rsidTr="00831310">
        <w:tc>
          <w:tcPr>
            <w:tcW w:w="1364"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招商银行股份有限公司－</w:t>
            </w:r>
            <w:proofErr w:type="gramStart"/>
            <w:r>
              <w:rPr>
                <w:rFonts w:hint="eastAsia"/>
              </w:rPr>
              <w:t>汇添富医疗</w:t>
            </w:r>
            <w:proofErr w:type="gramEnd"/>
            <w:r>
              <w:rPr>
                <w:rFonts w:hint="eastAsia"/>
              </w:rPr>
              <w:t>服务灵活配置混合型证券投资基金</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2.06%</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9,424,676</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r>
      <w:tr w:rsidR="00831310" w:rsidTr="00831310">
        <w:tc>
          <w:tcPr>
            <w:tcW w:w="1364"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中</w:t>
            </w:r>
            <w:proofErr w:type="gramStart"/>
            <w:r>
              <w:rPr>
                <w:rFonts w:hint="eastAsia"/>
              </w:rPr>
              <w:t>银基金</w:t>
            </w:r>
            <w:proofErr w:type="gramEnd"/>
            <w:r>
              <w:rPr>
                <w:rFonts w:hint="eastAsia"/>
              </w:rPr>
              <w:t>公司－中行－中国银行股份有限公司</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1.43%</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6,550,210</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r>
      <w:tr w:rsidR="00831310" w:rsidTr="00831310">
        <w:tc>
          <w:tcPr>
            <w:tcW w:w="1364"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中银基金－建设银行－中国人寿－中国人</w:t>
            </w:r>
            <w:proofErr w:type="gramStart"/>
            <w:r>
              <w:rPr>
                <w:rFonts w:hint="eastAsia"/>
              </w:rPr>
              <w:t>寿委托中银基金</w:t>
            </w:r>
            <w:proofErr w:type="gramEnd"/>
            <w:r>
              <w:rPr>
                <w:rFonts w:hint="eastAsia"/>
              </w:rPr>
              <w:t>公司混合型组合</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1.42%</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6,512,856</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r>
      <w:tr w:rsidR="00831310" w:rsidTr="00831310">
        <w:tc>
          <w:tcPr>
            <w:tcW w:w="1364"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中国对外经济贸易信托有限公司－外贸信托·锐进</w:t>
            </w:r>
            <w:r>
              <w:t>40</w:t>
            </w:r>
            <w:r>
              <w:rPr>
                <w:rFonts w:hint="eastAsia"/>
              </w:rPr>
              <w:t>期兆天证券投资集合资金信托计划</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0.51%</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2,327,400</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r>
      <w:tr w:rsidR="00831310" w:rsidTr="00831310">
        <w:tc>
          <w:tcPr>
            <w:tcW w:w="1364"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中国工商银行股份有限公司－</w:t>
            </w:r>
            <w:proofErr w:type="gramStart"/>
            <w:r>
              <w:rPr>
                <w:rFonts w:hint="eastAsia"/>
              </w:rPr>
              <w:t>汇添富</w:t>
            </w:r>
            <w:proofErr w:type="gramEnd"/>
            <w:r>
              <w:rPr>
                <w:rFonts w:hint="eastAsia"/>
              </w:rPr>
              <w:t>医药保健混合型证券投资基金</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0.43%</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1,964,063</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r>
      <w:tr w:rsidR="00831310" w:rsidTr="00831310">
        <w:tc>
          <w:tcPr>
            <w:tcW w:w="1364"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建信基金－招商银行－建信乾元安享特定多个客户资产管理计划</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0.42%</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1,910,999</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r>
      <w:tr w:rsidR="00831310" w:rsidTr="00831310">
        <w:tc>
          <w:tcPr>
            <w:tcW w:w="1364"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中国银行股份有限公司－博时医疗保健行业混合型证券投资基金</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0.39%</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1,800,000</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r>
      <w:tr w:rsidR="00831310" w:rsidTr="00831310">
        <w:tc>
          <w:tcPr>
            <w:tcW w:w="1364"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华宝信托有限责任公司－单一类资金信托</w:t>
            </w:r>
            <w:r>
              <w:t>R2009ZX002</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其他</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0.39%</w:t>
            </w:r>
          </w:p>
        </w:tc>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1,783,236</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p>
        </w:tc>
      </w:tr>
      <w:tr w:rsidR="00831310" w:rsidTr="00831310">
        <w:tc>
          <w:tcPr>
            <w:tcW w:w="9570"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前</w:t>
            </w:r>
            <w:r>
              <w:t>10</w:t>
            </w:r>
            <w:r>
              <w:rPr>
                <w:rFonts w:hint="eastAsia"/>
              </w:rPr>
              <w:t>名无限</w:t>
            </w:r>
            <w:proofErr w:type="gramStart"/>
            <w:r>
              <w:rPr>
                <w:rFonts w:hint="eastAsia"/>
              </w:rPr>
              <w:t>售条件</w:t>
            </w:r>
            <w:proofErr w:type="gramEnd"/>
            <w:r>
              <w:rPr>
                <w:rFonts w:hint="eastAsia"/>
              </w:rPr>
              <w:t>股东持股情况</w:t>
            </w:r>
          </w:p>
        </w:tc>
      </w:tr>
      <w:tr w:rsidR="00831310" w:rsidTr="00831310">
        <w:tc>
          <w:tcPr>
            <w:tcW w:w="273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股东名称</w:t>
            </w:r>
          </w:p>
        </w:tc>
        <w:tc>
          <w:tcPr>
            <w:tcW w:w="4103"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持有无限</w:t>
            </w:r>
            <w:proofErr w:type="gramStart"/>
            <w:r>
              <w:rPr>
                <w:rFonts w:hint="eastAsia"/>
              </w:rPr>
              <w:t>售条件</w:t>
            </w:r>
            <w:proofErr w:type="gramEnd"/>
            <w:r>
              <w:rPr>
                <w:rFonts w:hint="eastAsia"/>
              </w:rPr>
              <w:t>股份数量</w:t>
            </w:r>
          </w:p>
        </w:tc>
        <w:tc>
          <w:tcPr>
            <w:tcW w:w="273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股份种类</w:t>
            </w:r>
          </w:p>
        </w:tc>
      </w:tr>
      <w:tr w:rsidR="00831310" w:rsidTr="00831310">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center"/>
            </w:pPr>
          </w:p>
        </w:tc>
        <w:tc>
          <w:tcPr>
            <w:tcW w:w="4103" w:type="dxa"/>
            <w:gridSpan w:val="4"/>
            <w:vMerge/>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cente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股份种类</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数量</w:t>
            </w:r>
          </w:p>
        </w:tc>
      </w:tr>
      <w:tr w:rsidR="00831310" w:rsidTr="00831310">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山东新华医药集团有限责任公司</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157,587,763</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157,587,763</w:t>
            </w:r>
          </w:p>
        </w:tc>
      </w:tr>
      <w:tr w:rsidR="00831310" w:rsidTr="00831310">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香港中央结算（代理人）有限公司</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148,883,598</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rPr>
                <w:rFonts w:hint="eastAsia"/>
              </w:rPr>
              <w:t>境外上市外资股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148,883,598</w:t>
            </w:r>
          </w:p>
        </w:tc>
      </w:tr>
      <w:tr w:rsidR="00831310" w:rsidTr="00831310">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招商银行股份有限公司－</w:t>
            </w:r>
            <w:proofErr w:type="gramStart"/>
            <w:r>
              <w:rPr>
                <w:rFonts w:hint="eastAsia"/>
              </w:rPr>
              <w:t>汇添富医疗</w:t>
            </w:r>
            <w:proofErr w:type="gramEnd"/>
            <w:r>
              <w:rPr>
                <w:rFonts w:hint="eastAsia"/>
              </w:rPr>
              <w:t>服务灵活配置混合型证券投资基金</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9,424,676</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9,424,676</w:t>
            </w:r>
          </w:p>
        </w:tc>
      </w:tr>
      <w:tr w:rsidR="00831310" w:rsidTr="00831310">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中</w:t>
            </w:r>
            <w:proofErr w:type="gramStart"/>
            <w:r>
              <w:rPr>
                <w:rFonts w:hint="eastAsia"/>
              </w:rPr>
              <w:t>银基金</w:t>
            </w:r>
            <w:proofErr w:type="gramEnd"/>
            <w:r>
              <w:rPr>
                <w:rFonts w:hint="eastAsia"/>
              </w:rPr>
              <w:t>公司－中行－中国银行股份有限公司</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6,550,210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6,550,210</w:t>
            </w:r>
          </w:p>
        </w:tc>
      </w:tr>
      <w:tr w:rsidR="00831310" w:rsidTr="00831310">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中银基金－建设银行－中国人寿－中国人</w:t>
            </w:r>
            <w:proofErr w:type="gramStart"/>
            <w:r>
              <w:rPr>
                <w:rFonts w:hint="eastAsia"/>
              </w:rPr>
              <w:t>寿委托中银基金</w:t>
            </w:r>
            <w:proofErr w:type="gramEnd"/>
            <w:r>
              <w:rPr>
                <w:rFonts w:hint="eastAsia"/>
              </w:rPr>
              <w:t>公司混合型组合</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6,512,856</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6,512,856</w:t>
            </w:r>
          </w:p>
        </w:tc>
      </w:tr>
      <w:tr w:rsidR="00831310" w:rsidTr="00831310">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中国对外经济贸易信托有限公司－外贸信托·锐进</w:t>
            </w:r>
            <w:r>
              <w:t>40</w:t>
            </w:r>
            <w:r>
              <w:rPr>
                <w:rFonts w:hint="eastAsia"/>
              </w:rPr>
              <w:t>期兆天证券投资集合资金信托计划</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2,327,400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2,327,400</w:t>
            </w:r>
          </w:p>
        </w:tc>
      </w:tr>
      <w:tr w:rsidR="00831310" w:rsidTr="00831310">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中国工商银行股份有限公司－</w:t>
            </w:r>
            <w:proofErr w:type="gramStart"/>
            <w:r>
              <w:rPr>
                <w:rFonts w:hint="eastAsia"/>
              </w:rPr>
              <w:t>汇添富</w:t>
            </w:r>
            <w:proofErr w:type="gramEnd"/>
            <w:r>
              <w:rPr>
                <w:rFonts w:hint="eastAsia"/>
              </w:rPr>
              <w:t>医药保健混合型证券投资基金</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1,964,063</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1,964,063</w:t>
            </w:r>
          </w:p>
        </w:tc>
      </w:tr>
      <w:tr w:rsidR="00831310" w:rsidTr="00831310">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建信基金－招商银行－建信乾元安享特定多个客户资产管理计划</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1,910,999</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1,910,999</w:t>
            </w:r>
          </w:p>
        </w:tc>
      </w:tr>
      <w:tr w:rsidR="00831310" w:rsidTr="00831310">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中国银行股份有限公司－博时医疗保健行业混合型证券投资基金</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1,800,000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1,800,000</w:t>
            </w:r>
          </w:p>
        </w:tc>
      </w:tr>
      <w:tr w:rsidR="00831310" w:rsidTr="00831310">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华宝信托有限责任公司－单一类资金信托</w:t>
            </w:r>
            <w:r>
              <w:t>R2009ZX002</w:t>
            </w:r>
          </w:p>
        </w:tc>
        <w:tc>
          <w:tcPr>
            <w:tcW w:w="4103" w:type="dxa"/>
            <w:gridSpan w:val="4"/>
            <w:vMerge w:val="restart"/>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right"/>
            </w:pPr>
            <w:r>
              <w:t>1,783,236</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rPr>
                <w:rFonts w:hint="eastAsia"/>
              </w:rP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1,783,236</w:t>
            </w:r>
          </w:p>
        </w:tc>
      </w:tr>
      <w:tr w:rsidR="00831310" w:rsidTr="00831310">
        <w:tc>
          <w:tcPr>
            <w:tcW w:w="273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上述股东关联关系或一致行动的说明</w:t>
            </w:r>
          </w:p>
        </w:tc>
        <w:tc>
          <w:tcPr>
            <w:tcW w:w="683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rPr>
                <w:rFonts w:hint="eastAsia"/>
              </w:rPr>
              <w:t>本公司董事未知上述十大股东之间是否存在关联关系或中国证券监督管理委员会颁布的《上市公司收购管理办法》规定的一致行动人，也未知外资股东之间是否存在关联关系或《上市公司收购管理办法》规定的一致行动人。</w:t>
            </w:r>
          </w:p>
          <w:p w:rsidR="00831310" w:rsidRDefault="00831310" w:rsidP="00831310">
            <w:pPr>
              <w:jc w:val="left"/>
            </w:pPr>
            <w:r>
              <w:rPr>
                <w:rFonts w:hint="eastAsia"/>
              </w:rPr>
              <w:t>本公司董事未知上述无限</w:t>
            </w:r>
            <w:proofErr w:type="gramStart"/>
            <w:r>
              <w:rPr>
                <w:rFonts w:hint="eastAsia"/>
              </w:rPr>
              <w:t>售条件</w:t>
            </w:r>
            <w:proofErr w:type="gramEnd"/>
            <w:r>
              <w:rPr>
                <w:rFonts w:hint="eastAsia"/>
              </w:rPr>
              <w:t>股东之间、上述无限</w:t>
            </w:r>
            <w:proofErr w:type="gramStart"/>
            <w:r>
              <w:rPr>
                <w:rFonts w:hint="eastAsia"/>
              </w:rPr>
              <w:t>售条件</w:t>
            </w:r>
            <w:proofErr w:type="gramEnd"/>
            <w:r>
              <w:rPr>
                <w:rFonts w:hint="eastAsia"/>
              </w:rPr>
              <w:t>股东与十大股东之间是否存在关联关系、也不知是否存在《上市公司收购管理办法》规定的一致行动人。</w:t>
            </w:r>
          </w:p>
        </w:tc>
      </w:tr>
      <w:tr w:rsidR="00831310" w:rsidTr="00831310">
        <w:tc>
          <w:tcPr>
            <w:tcW w:w="273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前</w:t>
            </w:r>
            <w:r>
              <w:t>10</w:t>
            </w:r>
            <w:r>
              <w:rPr>
                <w:rFonts w:hint="eastAsia"/>
              </w:rPr>
              <w:t>名普通股股东参与融资融券业务情况说明（如有）</w:t>
            </w:r>
          </w:p>
        </w:tc>
        <w:tc>
          <w:tcPr>
            <w:tcW w:w="683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rPr>
                <w:rFonts w:hint="eastAsia"/>
              </w:rPr>
              <w:t>不适用</w:t>
            </w:r>
          </w:p>
        </w:tc>
      </w:tr>
    </w:tbl>
    <w:p w:rsidR="00831310" w:rsidRDefault="00831310" w:rsidP="00831310">
      <w:pPr>
        <w:jc w:val="left"/>
      </w:pPr>
      <w:r>
        <w:rPr>
          <w:rFonts w:hint="eastAsia"/>
        </w:rPr>
        <w:t>公司前</w:t>
      </w:r>
      <w:r>
        <w:t>10</w:t>
      </w:r>
      <w:r>
        <w:rPr>
          <w:rFonts w:hint="eastAsia"/>
        </w:rPr>
        <w:t>名普通股股东、前</w:t>
      </w:r>
      <w:r>
        <w:t>10</w:t>
      </w:r>
      <w:r>
        <w:rPr>
          <w:rFonts w:hint="eastAsia"/>
        </w:rPr>
        <w:t>名无限</w:t>
      </w:r>
      <w:proofErr w:type="gramStart"/>
      <w:r>
        <w:rPr>
          <w:rFonts w:hint="eastAsia"/>
        </w:rPr>
        <w:t>售条件</w:t>
      </w:r>
      <w:proofErr w:type="gramEnd"/>
      <w:r>
        <w:rPr>
          <w:rFonts w:hint="eastAsia"/>
        </w:rPr>
        <w:t>普通股股东在报告期内是否进行约定购回交易</w:t>
      </w:r>
    </w:p>
    <w:p w:rsidR="00831310" w:rsidRDefault="00831310" w:rsidP="00831310">
      <w:pPr>
        <w:jc w:val="left"/>
      </w:pPr>
      <w:r>
        <w:rPr>
          <w:rFonts w:hint="eastAsia"/>
        </w:rPr>
        <w:t>□</w:t>
      </w:r>
      <w:r>
        <w:t xml:space="preserve"> </w:t>
      </w:r>
      <w:r>
        <w:rPr>
          <w:rFonts w:hint="eastAsia"/>
        </w:rPr>
        <w:t>是</w:t>
      </w:r>
      <w:r>
        <w:t xml:space="preserve"> </w:t>
      </w:r>
      <w:r>
        <w:rPr>
          <w:rFonts w:hint="eastAsia"/>
        </w:rPr>
        <w:t>√</w:t>
      </w:r>
      <w:r>
        <w:t xml:space="preserve"> </w:t>
      </w:r>
      <w:r>
        <w:rPr>
          <w:rFonts w:hint="eastAsia"/>
        </w:rPr>
        <w:t>否</w:t>
      </w:r>
      <w:r>
        <w:t xml:space="preserve"> </w:t>
      </w:r>
    </w:p>
    <w:p w:rsidR="00831310" w:rsidRDefault="00831310" w:rsidP="00831310">
      <w:pPr>
        <w:jc w:val="left"/>
      </w:pPr>
      <w:r>
        <w:rPr>
          <w:rFonts w:hint="eastAsia"/>
        </w:rPr>
        <w:t>公司前</w:t>
      </w:r>
      <w:r>
        <w:t>10</w:t>
      </w:r>
      <w:r>
        <w:rPr>
          <w:rFonts w:hint="eastAsia"/>
        </w:rPr>
        <w:t>名普通股股东、前</w:t>
      </w:r>
      <w:r>
        <w:t>10</w:t>
      </w:r>
      <w:r>
        <w:rPr>
          <w:rFonts w:hint="eastAsia"/>
        </w:rPr>
        <w:t>名无限</w:t>
      </w:r>
      <w:proofErr w:type="gramStart"/>
      <w:r>
        <w:rPr>
          <w:rFonts w:hint="eastAsia"/>
        </w:rPr>
        <w:t>售条件</w:t>
      </w:r>
      <w:proofErr w:type="gramEnd"/>
      <w:r>
        <w:rPr>
          <w:rFonts w:hint="eastAsia"/>
        </w:rPr>
        <w:t>普通股股东在报告期内未进行约定购回交易。</w:t>
      </w:r>
    </w:p>
    <w:p w:rsidR="00831310" w:rsidRDefault="00831310" w:rsidP="00831310">
      <w:pPr>
        <w:pStyle w:val="Section"/>
        <w:outlineLvl w:val="2"/>
      </w:pPr>
      <w:r>
        <w:t>2</w:t>
      </w:r>
      <w:r>
        <w:rPr>
          <w:rFonts w:hint="eastAsia"/>
        </w:rPr>
        <w:t>、公司优先股股东总数及前</w:t>
      </w:r>
      <w:r>
        <w:t>10</w:t>
      </w:r>
      <w:r>
        <w:rPr>
          <w:rFonts w:hint="eastAsia"/>
        </w:rPr>
        <w:t>名优先股股东持股情况表</w:t>
      </w:r>
    </w:p>
    <w:p w:rsidR="00831310" w:rsidRDefault="00831310" w:rsidP="00831310">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831310" w:rsidRDefault="00831310" w:rsidP="00831310">
      <w:pPr>
        <w:jc w:val="left"/>
        <w:sectPr w:rsidR="00831310">
          <w:pgSz w:w="11906" w:h="16838"/>
          <w:pgMar w:top="1440" w:right="1134" w:bottom="1440" w:left="1134" w:header="851" w:footer="992" w:gutter="0"/>
          <w:cols w:space="720"/>
          <w:docGrid w:type="lines" w:linePitch="312"/>
        </w:sectPr>
      </w:pPr>
    </w:p>
    <w:p w:rsidR="00831310" w:rsidRDefault="00831310" w:rsidP="00831310">
      <w:pPr>
        <w:pStyle w:val="a9"/>
        <w:outlineLvl w:val="0"/>
      </w:pPr>
      <w:bookmarkStart w:id="3" w:name="_Toc300000086"/>
      <w:r>
        <w:rPr>
          <w:rFonts w:hint="eastAsia"/>
        </w:rPr>
        <w:t>第三节</w:t>
      </w:r>
      <w:r>
        <w:t xml:space="preserve"> </w:t>
      </w:r>
      <w:r>
        <w:rPr>
          <w:rFonts w:hint="eastAsia"/>
        </w:rPr>
        <w:t>重要事项</w:t>
      </w:r>
      <w:bookmarkEnd w:id="3"/>
    </w:p>
    <w:p w:rsidR="00831310" w:rsidRDefault="00831310" w:rsidP="00831310">
      <w:pPr>
        <w:pStyle w:val="Chapter"/>
        <w:outlineLvl w:val="1"/>
      </w:pPr>
      <w:r>
        <w:rPr>
          <w:rFonts w:hint="eastAsia"/>
        </w:rPr>
        <w:t>一、报告期主要财务数据、财务指标发生变动的情况及原因</w:t>
      </w:r>
    </w:p>
    <w:p w:rsidR="00831310" w:rsidRDefault="00831310" w:rsidP="00831310">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831310" w:rsidRDefault="00831310" w:rsidP="00831310">
      <w:pPr>
        <w:autoSpaceDE w:val="0"/>
        <w:autoSpaceDN w:val="0"/>
        <w:adjustRightInd w:val="0"/>
        <w:rPr>
          <w:rFonts w:ascii="宋体"/>
          <w:szCs w:val="21"/>
          <w:lang w:val="zh-CN"/>
        </w:rPr>
      </w:pPr>
      <w:r>
        <w:rPr>
          <w:rFonts w:ascii="宋体"/>
          <w:szCs w:val="21"/>
          <w:lang w:val="zh-CN"/>
        </w:rPr>
        <w:t>1.</w:t>
      </w:r>
      <w:r>
        <w:rPr>
          <w:rFonts w:ascii="宋体" w:hint="eastAsia"/>
          <w:szCs w:val="21"/>
          <w:lang w:val="zh-CN"/>
        </w:rPr>
        <w:t>于</w:t>
      </w:r>
      <w:r>
        <w:rPr>
          <w:rFonts w:ascii="宋体"/>
          <w:szCs w:val="21"/>
          <w:lang w:val="zh-CN"/>
        </w:rPr>
        <w:t>2017</w:t>
      </w:r>
      <w:r>
        <w:rPr>
          <w:rFonts w:ascii="宋体" w:hint="eastAsia"/>
          <w:szCs w:val="21"/>
          <w:lang w:val="zh-CN"/>
        </w:rPr>
        <w:t>年</w:t>
      </w:r>
      <w:r>
        <w:rPr>
          <w:rFonts w:ascii="宋体"/>
          <w:szCs w:val="21"/>
          <w:lang w:val="zh-CN"/>
        </w:rPr>
        <w:t>3</w:t>
      </w:r>
      <w:r>
        <w:rPr>
          <w:rFonts w:ascii="宋体" w:hint="eastAsia"/>
          <w:szCs w:val="21"/>
          <w:lang w:val="zh-CN"/>
        </w:rPr>
        <w:t>月</w:t>
      </w:r>
      <w:r>
        <w:rPr>
          <w:rFonts w:ascii="宋体"/>
          <w:szCs w:val="21"/>
          <w:lang w:val="zh-CN"/>
        </w:rPr>
        <w:t>31</w:t>
      </w:r>
      <w:r>
        <w:rPr>
          <w:rFonts w:ascii="宋体" w:hint="eastAsia"/>
          <w:szCs w:val="21"/>
          <w:lang w:val="zh-CN"/>
        </w:rPr>
        <w:t>日，本集团应收票据为人民币</w:t>
      </w:r>
      <w:r>
        <w:rPr>
          <w:rFonts w:ascii="宋体"/>
          <w:szCs w:val="21"/>
          <w:lang w:val="zh-CN"/>
        </w:rPr>
        <w:t>210,835,949.09</w:t>
      </w:r>
      <w:r>
        <w:rPr>
          <w:rFonts w:ascii="宋体" w:hint="eastAsia"/>
          <w:szCs w:val="21"/>
          <w:lang w:val="zh-CN"/>
        </w:rPr>
        <w:t>元，较年初上升</w:t>
      </w:r>
      <w:r>
        <w:rPr>
          <w:rFonts w:ascii="宋体"/>
          <w:szCs w:val="21"/>
          <w:lang w:val="zh-CN"/>
        </w:rPr>
        <w:t>97.03%</w:t>
      </w:r>
      <w:r>
        <w:rPr>
          <w:rFonts w:ascii="宋体" w:hint="eastAsia"/>
          <w:szCs w:val="21"/>
          <w:lang w:val="zh-CN"/>
        </w:rPr>
        <w:t>，上升的主要原因为本报告</w:t>
      </w:r>
      <w:proofErr w:type="gramStart"/>
      <w:r>
        <w:rPr>
          <w:rFonts w:ascii="宋体" w:hint="eastAsia"/>
          <w:szCs w:val="21"/>
          <w:lang w:val="zh-CN"/>
        </w:rPr>
        <w:t>期销售</w:t>
      </w:r>
      <w:proofErr w:type="gramEnd"/>
      <w:r>
        <w:rPr>
          <w:rFonts w:ascii="宋体" w:hint="eastAsia"/>
          <w:szCs w:val="21"/>
          <w:lang w:val="zh-CN"/>
        </w:rPr>
        <w:t>规模扩大，收到票据增加所致；</w:t>
      </w:r>
    </w:p>
    <w:p w:rsidR="00831310" w:rsidRDefault="00831310" w:rsidP="00831310">
      <w:pPr>
        <w:autoSpaceDE w:val="0"/>
        <w:autoSpaceDN w:val="0"/>
        <w:adjustRightInd w:val="0"/>
        <w:rPr>
          <w:rFonts w:ascii="宋体"/>
          <w:szCs w:val="21"/>
          <w:lang w:val="zh-CN"/>
        </w:rPr>
      </w:pPr>
    </w:p>
    <w:p w:rsidR="00831310" w:rsidRDefault="00831310" w:rsidP="00831310">
      <w:pPr>
        <w:autoSpaceDE w:val="0"/>
        <w:autoSpaceDN w:val="0"/>
        <w:adjustRightInd w:val="0"/>
        <w:rPr>
          <w:rFonts w:ascii="宋体"/>
          <w:szCs w:val="21"/>
          <w:lang w:val="zh-CN"/>
        </w:rPr>
      </w:pPr>
      <w:r>
        <w:rPr>
          <w:rFonts w:ascii="宋体"/>
          <w:szCs w:val="21"/>
          <w:lang w:val="zh-CN"/>
        </w:rPr>
        <w:t>2.</w:t>
      </w:r>
      <w:r>
        <w:rPr>
          <w:rFonts w:ascii="宋体" w:hint="eastAsia"/>
          <w:szCs w:val="21"/>
          <w:lang w:val="zh-CN"/>
        </w:rPr>
        <w:t>于</w:t>
      </w:r>
      <w:r>
        <w:rPr>
          <w:rFonts w:ascii="宋体"/>
          <w:szCs w:val="21"/>
          <w:lang w:val="zh-CN"/>
        </w:rPr>
        <w:t>2017</w:t>
      </w:r>
      <w:r>
        <w:rPr>
          <w:rFonts w:ascii="宋体" w:hint="eastAsia"/>
          <w:szCs w:val="21"/>
          <w:lang w:val="zh-CN"/>
        </w:rPr>
        <w:t>年</w:t>
      </w:r>
      <w:r>
        <w:rPr>
          <w:rFonts w:ascii="宋体"/>
          <w:szCs w:val="21"/>
          <w:lang w:val="zh-CN"/>
        </w:rPr>
        <w:t>3</w:t>
      </w:r>
      <w:r>
        <w:rPr>
          <w:rFonts w:ascii="宋体" w:hint="eastAsia"/>
          <w:szCs w:val="21"/>
          <w:lang w:val="zh-CN"/>
        </w:rPr>
        <w:t>月</w:t>
      </w:r>
      <w:r>
        <w:rPr>
          <w:rFonts w:ascii="宋体"/>
          <w:szCs w:val="21"/>
          <w:lang w:val="zh-CN"/>
        </w:rPr>
        <w:t>31</w:t>
      </w:r>
      <w:r>
        <w:rPr>
          <w:rFonts w:ascii="宋体" w:hint="eastAsia"/>
          <w:szCs w:val="21"/>
          <w:lang w:val="zh-CN"/>
        </w:rPr>
        <w:t>日，本集团应收账款为人民币</w:t>
      </w:r>
      <w:r>
        <w:rPr>
          <w:rFonts w:ascii="宋体"/>
          <w:szCs w:val="21"/>
          <w:lang w:val="zh-CN"/>
        </w:rPr>
        <w:t>509,404,636.57</w:t>
      </w:r>
      <w:r>
        <w:rPr>
          <w:rFonts w:ascii="宋体" w:hint="eastAsia"/>
          <w:szCs w:val="21"/>
          <w:lang w:val="zh-CN"/>
        </w:rPr>
        <w:t>元，较年初上升</w:t>
      </w:r>
      <w:r>
        <w:rPr>
          <w:rFonts w:ascii="宋体"/>
          <w:szCs w:val="21"/>
          <w:lang w:val="zh-CN"/>
        </w:rPr>
        <w:t>48.34%</w:t>
      </w:r>
      <w:r>
        <w:rPr>
          <w:rFonts w:ascii="宋体" w:hint="eastAsia"/>
          <w:szCs w:val="21"/>
          <w:lang w:val="zh-CN"/>
        </w:rPr>
        <w:t>，上升的主要原因为本报告</w:t>
      </w:r>
      <w:proofErr w:type="gramStart"/>
      <w:r>
        <w:rPr>
          <w:rFonts w:ascii="宋体" w:hint="eastAsia"/>
          <w:szCs w:val="21"/>
          <w:lang w:val="zh-CN"/>
        </w:rPr>
        <w:t>期销售</w:t>
      </w:r>
      <w:proofErr w:type="gramEnd"/>
      <w:r>
        <w:rPr>
          <w:rFonts w:ascii="宋体" w:hint="eastAsia"/>
          <w:szCs w:val="21"/>
          <w:lang w:val="zh-CN"/>
        </w:rPr>
        <w:t>规模扩大及部分销售业务付款期限未到所致；</w:t>
      </w:r>
    </w:p>
    <w:p w:rsidR="00831310" w:rsidRDefault="00831310" w:rsidP="00831310">
      <w:pPr>
        <w:autoSpaceDE w:val="0"/>
        <w:autoSpaceDN w:val="0"/>
        <w:adjustRightInd w:val="0"/>
        <w:rPr>
          <w:rFonts w:ascii="宋体"/>
          <w:szCs w:val="21"/>
          <w:lang w:val="zh-CN"/>
        </w:rPr>
      </w:pPr>
    </w:p>
    <w:p w:rsidR="00831310" w:rsidRDefault="00831310" w:rsidP="00831310">
      <w:pPr>
        <w:autoSpaceDE w:val="0"/>
        <w:autoSpaceDN w:val="0"/>
        <w:adjustRightInd w:val="0"/>
        <w:rPr>
          <w:rFonts w:ascii="宋体"/>
          <w:szCs w:val="21"/>
          <w:lang w:val="zh-CN"/>
        </w:rPr>
      </w:pPr>
      <w:r>
        <w:rPr>
          <w:rFonts w:ascii="宋体"/>
          <w:szCs w:val="21"/>
          <w:lang w:val="zh-CN"/>
        </w:rPr>
        <w:t>3.</w:t>
      </w:r>
      <w:r>
        <w:rPr>
          <w:rFonts w:ascii="宋体" w:hint="eastAsia"/>
          <w:szCs w:val="21"/>
          <w:lang w:val="zh-CN"/>
        </w:rPr>
        <w:t>于</w:t>
      </w:r>
      <w:r>
        <w:rPr>
          <w:rFonts w:ascii="宋体"/>
          <w:szCs w:val="21"/>
          <w:lang w:val="zh-CN"/>
        </w:rPr>
        <w:t>2017</w:t>
      </w:r>
      <w:r>
        <w:rPr>
          <w:rFonts w:ascii="宋体" w:hint="eastAsia"/>
          <w:szCs w:val="21"/>
          <w:lang w:val="zh-CN"/>
        </w:rPr>
        <w:t>年</w:t>
      </w:r>
      <w:r>
        <w:rPr>
          <w:rFonts w:ascii="宋体"/>
          <w:szCs w:val="21"/>
          <w:lang w:val="zh-CN"/>
        </w:rPr>
        <w:t>3</w:t>
      </w:r>
      <w:r>
        <w:rPr>
          <w:rFonts w:ascii="宋体" w:hint="eastAsia"/>
          <w:szCs w:val="21"/>
          <w:lang w:val="zh-CN"/>
        </w:rPr>
        <w:t>月</w:t>
      </w:r>
      <w:r>
        <w:rPr>
          <w:rFonts w:ascii="宋体"/>
          <w:szCs w:val="21"/>
          <w:lang w:val="zh-CN"/>
        </w:rPr>
        <w:t>31</w:t>
      </w:r>
      <w:r>
        <w:rPr>
          <w:rFonts w:ascii="宋体" w:hint="eastAsia"/>
          <w:szCs w:val="21"/>
          <w:lang w:val="zh-CN"/>
        </w:rPr>
        <w:t>日，本集团其他流动资产为人民币</w:t>
      </w:r>
      <w:r>
        <w:rPr>
          <w:rFonts w:ascii="宋体"/>
          <w:szCs w:val="21"/>
          <w:lang w:val="zh-CN"/>
        </w:rPr>
        <w:t>9,460,175.78</w:t>
      </w:r>
      <w:r>
        <w:rPr>
          <w:rFonts w:ascii="宋体" w:hint="eastAsia"/>
          <w:szCs w:val="21"/>
          <w:lang w:val="zh-CN"/>
        </w:rPr>
        <w:t>元，较年初下降</w:t>
      </w:r>
      <w:r>
        <w:rPr>
          <w:rFonts w:ascii="宋体"/>
          <w:szCs w:val="21"/>
          <w:lang w:val="zh-CN"/>
        </w:rPr>
        <w:t>85.13%</w:t>
      </w:r>
      <w:r>
        <w:rPr>
          <w:rFonts w:ascii="宋体" w:hint="eastAsia"/>
          <w:szCs w:val="21"/>
          <w:lang w:val="zh-CN"/>
        </w:rPr>
        <w:t>，下降的主要原因是本报告期增值税留</w:t>
      </w:r>
      <w:proofErr w:type="gramStart"/>
      <w:r>
        <w:rPr>
          <w:rFonts w:ascii="宋体" w:hint="eastAsia"/>
          <w:szCs w:val="21"/>
          <w:lang w:val="zh-CN"/>
        </w:rPr>
        <w:t>抵减少</w:t>
      </w:r>
      <w:proofErr w:type="gramEnd"/>
      <w:r>
        <w:rPr>
          <w:rFonts w:ascii="宋体" w:hint="eastAsia"/>
          <w:szCs w:val="21"/>
          <w:lang w:val="zh-CN"/>
        </w:rPr>
        <w:t>所致；</w:t>
      </w:r>
    </w:p>
    <w:p w:rsidR="00831310" w:rsidRDefault="00831310" w:rsidP="00831310">
      <w:pPr>
        <w:autoSpaceDE w:val="0"/>
        <w:autoSpaceDN w:val="0"/>
        <w:adjustRightInd w:val="0"/>
        <w:rPr>
          <w:rFonts w:ascii="宋体"/>
          <w:szCs w:val="21"/>
          <w:lang w:val="zh-CN"/>
        </w:rPr>
      </w:pPr>
    </w:p>
    <w:p w:rsidR="00831310" w:rsidRDefault="00831310" w:rsidP="00831310">
      <w:pPr>
        <w:autoSpaceDE w:val="0"/>
        <w:autoSpaceDN w:val="0"/>
        <w:adjustRightInd w:val="0"/>
        <w:rPr>
          <w:rFonts w:ascii="宋体"/>
          <w:szCs w:val="21"/>
          <w:lang w:val="zh-CN"/>
        </w:rPr>
      </w:pPr>
      <w:r>
        <w:rPr>
          <w:rFonts w:ascii="宋体"/>
          <w:szCs w:val="21"/>
          <w:lang w:val="zh-CN"/>
        </w:rPr>
        <w:t>4.</w:t>
      </w:r>
      <w:r>
        <w:rPr>
          <w:rFonts w:ascii="宋体" w:hint="eastAsia"/>
          <w:szCs w:val="21"/>
          <w:lang w:val="zh-CN"/>
        </w:rPr>
        <w:t>于</w:t>
      </w:r>
      <w:r>
        <w:rPr>
          <w:rFonts w:ascii="宋体"/>
          <w:szCs w:val="21"/>
          <w:lang w:val="zh-CN"/>
        </w:rPr>
        <w:t>2017</w:t>
      </w:r>
      <w:r>
        <w:rPr>
          <w:rFonts w:ascii="宋体" w:hint="eastAsia"/>
          <w:szCs w:val="21"/>
          <w:lang w:val="zh-CN"/>
        </w:rPr>
        <w:t>年</w:t>
      </w:r>
      <w:r>
        <w:rPr>
          <w:rFonts w:ascii="宋体"/>
          <w:szCs w:val="21"/>
          <w:lang w:val="zh-CN"/>
        </w:rPr>
        <w:t>3</w:t>
      </w:r>
      <w:r>
        <w:rPr>
          <w:rFonts w:ascii="宋体" w:hint="eastAsia"/>
          <w:szCs w:val="21"/>
          <w:lang w:val="zh-CN"/>
        </w:rPr>
        <w:t>月</w:t>
      </w:r>
      <w:r>
        <w:rPr>
          <w:rFonts w:ascii="宋体"/>
          <w:szCs w:val="21"/>
          <w:lang w:val="zh-CN"/>
        </w:rPr>
        <w:t>31</w:t>
      </w:r>
      <w:r>
        <w:rPr>
          <w:rFonts w:ascii="宋体" w:hint="eastAsia"/>
          <w:szCs w:val="21"/>
          <w:lang w:val="zh-CN"/>
        </w:rPr>
        <w:t>日，本集团预收款项为人民币</w:t>
      </w:r>
      <w:r>
        <w:rPr>
          <w:rFonts w:ascii="宋体"/>
          <w:szCs w:val="21"/>
          <w:lang w:val="zh-CN"/>
        </w:rPr>
        <w:t>46,547,855.36</w:t>
      </w:r>
      <w:r>
        <w:rPr>
          <w:rFonts w:ascii="宋体" w:hint="eastAsia"/>
          <w:szCs w:val="21"/>
          <w:lang w:val="zh-CN"/>
        </w:rPr>
        <w:t>元，较年初下降</w:t>
      </w:r>
      <w:r>
        <w:rPr>
          <w:rFonts w:ascii="宋体"/>
          <w:szCs w:val="21"/>
          <w:lang w:val="zh-CN"/>
        </w:rPr>
        <w:t>30.93%</w:t>
      </w:r>
      <w:r>
        <w:rPr>
          <w:rFonts w:ascii="宋体" w:hint="eastAsia"/>
          <w:szCs w:val="21"/>
          <w:lang w:val="zh-CN"/>
        </w:rPr>
        <w:t>，下降的主要原因是年初部分预收款项于本报告</w:t>
      </w:r>
      <w:proofErr w:type="gramStart"/>
      <w:r>
        <w:rPr>
          <w:rFonts w:ascii="宋体" w:hint="eastAsia"/>
          <w:szCs w:val="21"/>
          <w:lang w:val="zh-CN"/>
        </w:rPr>
        <w:t>期实现</w:t>
      </w:r>
      <w:proofErr w:type="gramEnd"/>
      <w:r>
        <w:rPr>
          <w:rFonts w:ascii="宋体" w:hint="eastAsia"/>
          <w:szCs w:val="21"/>
          <w:lang w:val="zh-CN"/>
        </w:rPr>
        <w:t>销售所致；</w:t>
      </w:r>
    </w:p>
    <w:p w:rsidR="00831310" w:rsidRDefault="00831310" w:rsidP="00831310">
      <w:pPr>
        <w:autoSpaceDE w:val="0"/>
        <w:autoSpaceDN w:val="0"/>
        <w:adjustRightInd w:val="0"/>
        <w:rPr>
          <w:rFonts w:ascii="宋体"/>
          <w:szCs w:val="21"/>
          <w:lang w:val="zh-CN"/>
        </w:rPr>
      </w:pPr>
    </w:p>
    <w:p w:rsidR="00831310" w:rsidRDefault="00831310" w:rsidP="00831310">
      <w:pPr>
        <w:autoSpaceDE w:val="0"/>
        <w:autoSpaceDN w:val="0"/>
        <w:adjustRightInd w:val="0"/>
        <w:rPr>
          <w:rFonts w:ascii="宋体"/>
          <w:szCs w:val="21"/>
          <w:lang w:val="zh-CN"/>
        </w:rPr>
      </w:pPr>
      <w:r>
        <w:rPr>
          <w:rFonts w:ascii="宋体"/>
          <w:szCs w:val="21"/>
          <w:lang w:val="zh-CN"/>
        </w:rPr>
        <w:t>5.</w:t>
      </w:r>
      <w:r>
        <w:rPr>
          <w:rFonts w:ascii="宋体" w:hint="eastAsia"/>
          <w:szCs w:val="21"/>
          <w:lang w:val="zh-CN"/>
        </w:rPr>
        <w:t>于</w:t>
      </w:r>
      <w:r>
        <w:rPr>
          <w:rFonts w:ascii="宋体"/>
          <w:szCs w:val="21"/>
          <w:lang w:val="zh-CN"/>
        </w:rPr>
        <w:t>2017</w:t>
      </w:r>
      <w:r>
        <w:rPr>
          <w:rFonts w:ascii="宋体" w:hint="eastAsia"/>
          <w:szCs w:val="21"/>
          <w:lang w:val="zh-CN"/>
        </w:rPr>
        <w:t>年</w:t>
      </w:r>
      <w:r>
        <w:rPr>
          <w:rFonts w:ascii="宋体"/>
          <w:szCs w:val="21"/>
          <w:lang w:val="zh-CN"/>
        </w:rPr>
        <w:t>3</w:t>
      </w:r>
      <w:r>
        <w:rPr>
          <w:rFonts w:ascii="宋体" w:hint="eastAsia"/>
          <w:szCs w:val="21"/>
          <w:lang w:val="zh-CN"/>
        </w:rPr>
        <w:t>月</w:t>
      </w:r>
      <w:r>
        <w:rPr>
          <w:rFonts w:ascii="宋体"/>
          <w:szCs w:val="21"/>
          <w:lang w:val="zh-CN"/>
        </w:rPr>
        <w:t>31</w:t>
      </w:r>
      <w:r>
        <w:rPr>
          <w:rFonts w:ascii="宋体" w:hint="eastAsia"/>
          <w:szCs w:val="21"/>
          <w:lang w:val="zh-CN"/>
        </w:rPr>
        <w:t>日，本集团应付职工薪酬为人民币</w:t>
      </w:r>
      <w:r>
        <w:rPr>
          <w:rFonts w:ascii="宋体"/>
          <w:szCs w:val="21"/>
          <w:lang w:val="zh-CN"/>
        </w:rPr>
        <w:t>27,107,692.68</w:t>
      </w:r>
      <w:r>
        <w:rPr>
          <w:rFonts w:ascii="宋体" w:hint="eastAsia"/>
          <w:szCs w:val="21"/>
          <w:lang w:val="zh-CN"/>
        </w:rPr>
        <w:t>元，较年初下降</w:t>
      </w:r>
      <w:r>
        <w:rPr>
          <w:rFonts w:ascii="宋体"/>
          <w:szCs w:val="21"/>
          <w:lang w:val="zh-CN"/>
        </w:rPr>
        <w:t>58.98%</w:t>
      </w:r>
      <w:r>
        <w:rPr>
          <w:rFonts w:ascii="宋体" w:hint="eastAsia"/>
          <w:szCs w:val="21"/>
          <w:lang w:val="zh-CN"/>
        </w:rPr>
        <w:t>，下降的主要原因是本报告期支付年初应付职工薪</w:t>
      </w:r>
      <w:proofErr w:type="gramStart"/>
      <w:r>
        <w:rPr>
          <w:rFonts w:ascii="宋体" w:hint="eastAsia"/>
          <w:szCs w:val="21"/>
          <w:lang w:val="zh-CN"/>
        </w:rPr>
        <w:t>酬</w:t>
      </w:r>
      <w:proofErr w:type="gramEnd"/>
      <w:r>
        <w:rPr>
          <w:rFonts w:ascii="宋体" w:hint="eastAsia"/>
          <w:szCs w:val="21"/>
          <w:lang w:val="zh-CN"/>
        </w:rPr>
        <w:t>所致；</w:t>
      </w:r>
    </w:p>
    <w:p w:rsidR="00831310" w:rsidRDefault="00831310" w:rsidP="00831310">
      <w:pPr>
        <w:autoSpaceDE w:val="0"/>
        <w:autoSpaceDN w:val="0"/>
        <w:adjustRightInd w:val="0"/>
        <w:rPr>
          <w:rFonts w:ascii="宋体"/>
          <w:szCs w:val="21"/>
          <w:lang w:val="zh-CN"/>
        </w:rPr>
      </w:pPr>
    </w:p>
    <w:p w:rsidR="00831310" w:rsidRDefault="00831310" w:rsidP="00831310">
      <w:pPr>
        <w:autoSpaceDE w:val="0"/>
        <w:autoSpaceDN w:val="0"/>
        <w:adjustRightInd w:val="0"/>
        <w:rPr>
          <w:rFonts w:ascii="宋体"/>
          <w:szCs w:val="21"/>
          <w:lang w:val="zh-CN"/>
        </w:rPr>
      </w:pPr>
      <w:r>
        <w:rPr>
          <w:rFonts w:ascii="宋体"/>
          <w:szCs w:val="21"/>
          <w:lang w:val="zh-CN"/>
        </w:rPr>
        <w:t>6.</w:t>
      </w:r>
      <w:r>
        <w:rPr>
          <w:rFonts w:ascii="宋体" w:hint="eastAsia"/>
          <w:szCs w:val="21"/>
          <w:lang w:val="zh-CN"/>
        </w:rPr>
        <w:t>于</w:t>
      </w:r>
      <w:r>
        <w:rPr>
          <w:rFonts w:ascii="宋体"/>
          <w:szCs w:val="21"/>
          <w:lang w:val="zh-CN"/>
        </w:rPr>
        <w:t>2017</w:t>
      </w:r>
      <w:r>
        <w:rPr>
          <w:rFonts w:ascii="宋体" w:hint="eastAsia"/>
          <w:szCs w:val="21"/>
          <w:lang w:val="zh-CN"/>
        </w:rPr>
        <w:t>年</w:t>
      </w:r>
      <w:r>
        <w:rPr>
          <w:rFonts w:ascii="宋体"/>
          <w:szCs w:val="21"/>
          <w:lang w:val="zh-CN"/>
        </w:rPr>
        <w:t>3</w:t>
      </w:r>
      <w:r>
        <w:rPr>
          <w:rFonts w:ascii="宋体" w:hint="eastAsia"/>
          <w:szCs w:val="21"/>
          <w:lang w:val="zh-CN"/>
        </w:rPr>
        <w:t>月</w:t>
      </w:r>
      <w:r>
        <w:rPr>
          <w:rFonts w:ascii="宋体"/>
          <w:szCs w:val="21"/>
          <w:lang w:val="zh-CN"/>
        </w:rPr>
        <w:t>31</w:t>
      </w:r>
      <w:r>
        <w:rPr>
          <w:rFonts w:ascii="宋体" w:hint="eastAsia"/>
          <w:szCs w:val="21"/>
          <w:lang w:val="zh-CN"/>
        </w:rPr>
        <w:t>日，本集团应交税费为人民币</w:t>
      </w:r>
      <w:r>
        <w:rPr>
          <w:rFonts w:ascii="宋体"/>
          <w:szCs w:val="21"/>
          <w:lang w:val="zh-CN"/>
        </w:rPr>
        <w:t>40,462,815.69</w:t>
      </w:r>
      <w:r>
        <w:rPr>
          <w:rFonts w:ascii="宋体" w:hint="eastAsia"/>
          <w:szCs w:val="21"/>
          <w:lang w:val="zh-CN"/>
        </w:rPr>
        <w:t>元，较年初上升</w:t>
      </w:r>
      <w:r>
        <w:rPr>
          <w:rFonts w:ascii="宋体"/>
          <w:szCs w:val="21"/>
          <w:lang w:val="zh-CN"/>
        </w:rPr>
        <w:t>128.67%</w:t>
      </w:r>
      <w:r>
        <w:rPr>
          <w:rFonts w:ascii="宋体" w:hint="eastAsia"/>
          <w:szCs w:val="21"/>
          <w:lang w:val="zh-CN"/>
        </w:rPr>
        <w:t>，上升的主要原因是本报告期应缴增值税及所得税上升较大所致；</w:t>
      </w:r>
    </w:p>
    <w:p w:rsidR="00831310" w:rsidRDefault="00831310" w:rsidP="00831310">
      <w:pPr>
        <w:autoSpaceDE w:val="0"/>
        <w:autoSpaceDN w:val="0"/>
        <w:adjustRightInd w:val="0"/>
        <w:rPr>
          <w:rFonts w:ascii="宋体"/>
          <w:szCs w:val="21"/>
          <w:lang w:val="zh-CN"/>
        </w:rPr>
      </w:pPr>
    </w:p>
    <w:p w:rsidR="00831310" w:rsidRDefault="00831310" w:rsidP="00831310">
      <w:pPr>
        <w:autoSpaceDE w:val="0"/>
        <w:autoSpaceDN w:val="0"/>
        <w:adjustRightInd w:val="0"/>
        <w:rPr>
          <w:rFonts w:ascii="宋体"/>
          <w:szCs w:val="21"/>
          <w:lang w:val="zh-CN"/>
        </w:rPr>
      </w:pPr>
      <w:r>
        <w:rPr>
          <w:rFonts w:ascii="宋体"/>
          <w:szCs w:val="21"/>
          <w:lang w:val="zh-CN"/>
        </w:rPr>
        <w:t>7.</w:t>
      </w:r>
      <w:r>
        <w:rPr>
          <w:rFonts w:ascii="宋体" w:hint="eastAsia"/>
          <w:szCs w:val="21"/>
          <w:lang w:val="zh-CN"/>
        </w:rPr>
        <w:t>于</w:t>
      </w:r>
      <w:r>
        <w:rPr>
          <w:rFonts w:ascii="宋体"/>
          <w:szCs w:val="21"/>
          <w:lang w:val="zh-CN"/>
        </w:rPr>
        <w:t>2017</w:t>
      </w:r>
      <w:r>
        <w:rPr>
          <w:rFonts w:ascii="宋体" w:hint="eastAsia"/>
          <w:szCs w:val="21"/>
          <w:lang w:val="zh-CN"/>
        </w:rPr>
        <w:t>年</w:t>
      </w:r>
      <w:r>
        <w:rPr>
          <w:rFonts w:ascii="宋体"/>
          <w:szCs w:val="21"/>
          <w:lang w:val="zh-CN"/>
        </w:rPr>
        <w:t>3</w:t>
      </w:r>
      <w:r>
        <w:rPr>
          <w:rFonts w:ascii="宋体" w:hint="eastAsia"/>
          <w:szCs w:val="21"/>
          <w:lang w:val="zh-CN"/>
        </w:rPr>
        <w:t>月</w:t>
      </w:r>
      <w:r>
        <w:rPr>
          <w:rFonts w:ascii="宋体"/>
          <w:szCs w:val="21"/>
          <w:lang w:val="zh-CN"/>
        </w:rPr>
        <w:t>31</w:t>
      </w:r>
      <w:r>
        <w:rPr>
          <w:rFonts w:ascii="宋体" w:hint="eastAsia"/>
          <w:szCs w:val="21"/>
          <w:lang w:val="zh-CN"/>
        </w:rPr>
        <w:t>日，本集团应付利息为人民币</w:t>
      </w:r>
      <w:r>
        <w:rPr>
          <w:rFonts w:ascii="宋体"/>
          <w:szCs w:val="21"/>
          <w:lang w:val="zh-CN"/>
        </w:rPr>
        <w:t>10,413,266.40</w:t>
      </w:r>
      <w:r>
        <w:rPr>
          <w:rFonts w:ascii="宋体" w:hint="eastAsia"/>
          <w:szCs w:val="21"/>
          <w:lang w:val="zh-CN"/>
        </w:rPr>
        <w:t>元，较年初增加人民币</w:t>
      </w:r>
      <w:r>
        <w:rPr>
          <w:rFonts w:ascii="宋体"/>
          <w:szCs w:val="21"/>
          <w:lang w:val="zh-CN"/>
        </w:rPr>
        <w:t>6,511,156.24</w:t>
      </w:r>
      <w:r>
        <w:rPr>
          <w:rFonts w:ascii="宋体" w:hint="eastAsia"/>
          <w:szCs w:val="21"/>
          <w:lang w:val="zh-CN"/>
        </w:rPr>
        <w:t>元，增加的主要原因为本集团部分借款利息于年末支付，从而导致应付利息上升较大所致；</w:t>
      </w:r>
    </w:p>
    <w:p w:rsidR="00831310" w:rsidRDefault="00831310" w:rsidP="00831310">
      <w:pPr>
        <w:autoSpaceDE w:val="0"/>
        <w:autoSpaceDN w:val="0"/>
        <w:adjustRightInd w:val="0"/>
        <w:rPr>
          <w:rFonts w:ascii="宋体"/>
          <w:szCs w:val="21"/>
          <w:lang w:val="zh-CN"/>
        </w:rPr>
      </w:pPr>
    </w:p>
    <w:p w:rsidR="00831310" w:rsidRDefault="00831310" w:rsidP="00831310">
      <w:pPr>
        <w:autoSpaceDE w:val="0"/>
        <w:autoSpaceDN w:val="0"/>
        <w:adjustRightInd w:val="0"/>
        <w:rPr>
          <w:rFonts w:ascii="宋体"/>
          <w:szCs w:val="21"/>
          <w:lang w:val="zh-CN"/>
        </w:rPr>
      </w:pPr>
      <w:r>
        <w:rPr>
          <w:rFonts w:ascii="宋体"/>
          <w:szCs w:val="21"/>
          <w:lang w:val="zh-CN"/>
        </w:rPr>
        <w:t>8.2017</w:t>
      </w:r>
      <w:r>
        <w:rPr>
          <w:rFonts w:ascii="宋体" w:hint="eastAsia"/>
          <w:szCs w:val="21"/>
          <w:lang w:val="zh-CN"/>
        </w:rPr>
        <w:t>年</w:t>
      </w:r>
      <w:r>
        <w:rPr>
          <w:rFonts w:ascii="宋体"/>
          <w:szCs w:val="21"/>
          <w:lang w:val="zh-CN"/>
        </w:rPr>
        <w:t>1-3</w:t>
      </w:r>
      <w:r>
        <w:rPr>
          <w:rFonts w:ascii="宋体" w:hint="eastAsia"/>
          <w:szCs w:val="21"/>
          <w:lang w:val="zh-CN"/>
        </w:rPr>
        <w:t>月税金及附加为人民币</w:t>
      </w:r>
      <w:r>
        <w:rPr>
          <w:rFonts w:ascii="宋体"/>
          <w:szCs w:val="21"/>
          <w:lang w:val="zh-CN"/>
        </w:rPr>
        <w:t>16,406,920.23</w:t>
      </w:r>
      <w:r>
        <w:rPr>
          <w:rFonts w:ascii="宋体" w:hint="eastAsia"/>
          <w:szCs w:val="21"/>
          <w:lang w:val="zh-CN"/>
        </w:rPr>
        <w:t>元，较去年同期上升</w:t>
      </w:r>
      <w:r>
        <w:rPr>
          <w:rFonts w:ascii="宋体"/>
          <w:szCs w:val="21"/>
          <w:lang w:val="zh-CN"/>
        </w:rPr>
        <w:t>64.97%</w:t>
      </w:r>
      <w:r>
        <w:rPr>
          <w:rFonts w:ascii="宋体" w:hint="eastAsia"/>
          <w:szCs w:val="21"/>
          <w:lang w:val="zh-CN"/>
        </w:rPr>
        <w:t>，上升的主要原因为根据财政部关于《增值税会计处理规定》有关问题解读规定，本报告期将房产税、土地使用税等税费调整至税金及附加中核算；</w:t>
      </w:r>
    </w:p>
    <w:p w:rsidR="00831310" w:rsidRDefault="00831310" w:rsidP="00831310">
      <w:pPr>
        <w:autoSpaceDE w:val="0"/>
        <w:autoSpaceDN w:val="0"/>
        <w:adjustRightInd w:val="0"/>
        <w:rPr>
          <w:rFonts w:ascii="宋体"/>
          <w:szCs w:val="21"/>
          <w:lang w:val="zh-CN"/>
        </w:rPr>
      </w:pPr>
    </w:p>
    <w:p w:rsidR="00831310" w:rsidRDefault="00831310" w:rsidP="00831310">
      <w:pPr>
        <w:autoSpaceDE w:val="0"/>
        <w:autoSpaceDN w:val="0"/>
        <w:adjustRightInd w:val="0"/>
        <w:rPr>
          <w:rFonts w:ascii="宋体"/>
          <w:szCs w:val="21"/>
          <w:lang w:val="zh-CN"/>
        </w:rPr>
      </w:pPr>
      <w:r>
        <w:rPr>
          <w:rFonts w:ascii="宋体"/>
          <w:szCs w:val="21"/>
          <w:lang w:val="zh-CN"/>
        </w:rPr>
        <w:t>9.2017</w:t>
      </w:r>
      <w:r>
        <w:rPr>
          <w:rFonts w:ascii="宋体" w:hint="eastAsia"/>
          <w:szCs w:val="21"/>
          <w:lang w:val="zh-CN"/>
        </w:rPr>
        <w:t>年</w:t>
      </w:r>
      <w:r>
        <w:rPr>
          <w:rFonts w:ascii="宋体"/>
          <w:szCs w:val="21"/>
          <w:lang w:val="zh-CN"/>
        </w:rPr>
        <w:t>1-3</w:t>
      </w:r>
      <w:r>
        <w:rPr>
          <w:rFonts w:ascii="宋体" w:hint="eastAsia"/>
          <w:szCs w:val="21"/>
          <w:lang w:val="zh-CN"/>
        </w:rPr>
        <w:t>月销售费用为人民币</w:t>
      </w:r>
      <w:r>
        <w:rPr>
          <w:rFonts w:ascii="宋体"/>
          <w:szCs w:val="21"/>
          <w:lang w:val="zh-CN"/>
        </w:rPr>
        <w:t>152,556,515.24</w:t>
      </w:r>
      <w:r>
        <w:rPr>
          <w:rFonts w:ascii="宋体" w:hint="eastAsia"/>
          <w:szCs w:val="21"/>
          <w:lang w:val="zh-CN"/>
        </w:rPr>
        <w:t>元，较去年同期上升</w:t>
      </w:r>
      <w:r>
        <w:rPr>
          <w:rFonts w:ascii="宋体"/>
          <w:szCs w:val="21"/>
          <w:lang w:val="zh-CN"/>
        </w:rPr>
        <w:t>46.16%</w:t>
      </w:r>
      <w:r>
        <w:rPr>
          <w:rFonts w:ascii="宋体" w:hint="eastAsia"/>
          <w:szCs w:val="21"/>
          <w:lang w:val="zh-CN"/>
        </w:rPr>
        <w:t>，上升的主要原因为本报告期内本集团积极开拓市场导致销售费用增加所致；</w:t>
      </w:r>
    </w:p>
    <w:p w:rsidR="00831310" w:rsidRDefault="00831310" w:rsidP="00831310">
      <w:pPr>
        <w:autoSpaceDE w:val="0"/>
        <w:autoSpaceDN w:val="0"/>
        <w:adjustRightInd w:val="0"/>
        <w:rPr>
          <w:rFonts w:ascii="宋体"/>
          <w:szCs w:val="21"/>
          <w:lang w:val="zh-CN"/>
        </w:rPr>
      </w:pPr>
    </w:p>
    <w:p w:rsidR="00831310" w:rsidRDefault="00831310" w:rsidP="00831310">
      <w:pPr>
        <w:autoSpaceDE w:val="0"/>
        <w:autoSpaceDN w:val="0"/>
        <w:adjustRightInd w:val="0"/>
        <w:rPr>
          <w:rFonts w:ascii="宋体"/>
          <w:szCs w:val="21"/>
          <w:lang w:val="zh-CN"/>
        </w:rPr>
      </w:pPr>
      <w:r>
        <w:rPr>
          <w:rFonts w:ascii="宋体"/>
          <w:szCs w:val="21"/>
          <w:lang w:val="zh-CN"/>
        </w:rPr>
        <w:t>10.2017</w:t>
      </w:r>
      <w:r>
        <w:rPr>
          <w:rFonts w:ascii="宋体" w:hint="eastAsia"/>
          <w:szCs w:val="21"/>
          <w:lang w:val="zh-CN"/>
        </w:rPr>
        <w:t>年</w:t>
      </w:r>
      <w:r>
        <w:rPr>
          <w:rFonts w:ascii="宋体"/>
          <w:szCs w:val="21"/>
          <w:lang w:val="zh-CN"/>
        </w:rPr>
        <w:t>1-3</w:t>
      </w:r>
      <w:r>
        <w:rPr>
          <w:rFonts w:ascii="宋体" w:hint="eastAsia"/>
          <w:szCs w:val="21"/>
          <w:lang w:val="zh-CN"/>
        </w:rPr>
        <w:t>月管理费用为人民币</w:t>
      </w:r>
      <w:r>
        <w:rPr>
          <w:rFonts w:ascii="宋体"/>
          <w:szCs w:val="21"/>
          <w:lang w:val="zh-CN"/>
        </w:rPr>
        <w:t>106,151,166.96</w:t>
      </w:r>
      <w:r>
        <w:rPr>
          <w:rFonts w:ascii="宋体" w:hint="eastAsia"/>
          <w:szCs w:val="21"/>
          <w:lang w:val="zh-CN"/>
        </w:rPr>
        <w:t>元，较去年同期上升</w:t>
      </w:r>
      <w:r>
        <w:rPr>
          <w:rFonts w:ascii="宋体"/>
          <w:szCs w:val="21"/>
          <w:lang w:val="zh-CN"/>
        </w:rPr>
        <w:t>33.00%</w:t>
      </w:r>
      <w:r>
        <w:rPr>
          <w:rFonts w:ascii="宋体" w:hint="eastAsia"/>
          <w:szCs w:val="21"/>
          <w:lang w:val="zh-CN"/>
        </w:rPr>
        <w:t>，上升的主要原因为本报告期研发费用投入增加所致；</w:t>
      </w:r>
    </w:p>
    <w:p w:rsidR="00831310" w:rsidRDefault="00831310" w:rsidP="00831310">
      <w:pPr>
        <w:autoSpaceDE w:val="0"/>
        <w:autoSpaceDN w:val="0"/>
        <w:adjustRightInd w:val="0"/>
        <w:rPr>
          <w:rFonts w:ascii="宋体"/>
          <w:szCs w:val="21"/>
          <w:lang w:val="zh-CN"/>
        </w:rPr>
      </w:pPr>
    </w:p>
    <w:p w:rsidR="00831310" w:rsidRDefault="00831310" w:rsidP="00831310">
      <w:pPr>
        <w:autoSpaceDE w:val="0"/>
        <w:autoSpaceDN w:val="0"/>
        <w:adjustRightInd w:val="0"/>
        <w:rPr>
          <w:rFonts w:ascii="宋体"/>
          <w:szCs w:val="21"/>
          <w:lang w:val="zh-CN"/>
        </w:rPr>
      </w:pPr>
      <w:r>
        <w:rPr>
          <w:rFonts w:ascii="宋体"/>
          <w:szCs w:val="21"/>
          <w:lang w:val="zh-CN"/>
        </w:rPr>
        <w:t>11.2017</w:t>
      </w:r>
      <w:r>
        <w:rPr>
          <w:rFonts w:ascii="宋体" w:hint="eastAsia"/>
          <w:szCs w:val="21"/>
          <w:lang w:val="zh-CN"/>
        </w:rPr>
        <w:t>年</w:t>
      </w:r>
      <w:r>
        <w:rPr>
          <w:rFonts w:ascii="宋体"/>
          <w:szCs w:val="21"/>
          <w:lang w:val="zh-CN"/>
        </w:rPr>
        <w:t>1-3</w:t>
      </w:r>
      <w:r>
        <w:rPr>
          <w:rFonts w:ascii="宋体" w:hint="eastAsia"/>
          <w:szCs w:val="21"/>
          <w:lang w:val="zh-CN"/>
        </w:rPr>
        <w:t>月营业外净收益为人民币</w:t>
      </w:r>
      <w:r>
        <w:rPr>
          <w:rFonts w:ascii="宋体"/>
          <w:szCs w:val="21"/>
          <w:lang w:val="zh-CN"/>
        </w:rPr>
        <w:t>10,307,188.87</w:t>
      </w:r>
      <w:r>
        <w:rPr>
          <w:rFonts w:ascii="宋体" w:hint="eastAsia"/>
          <w:szCs w:val="21"/>
          <w:lang w:val="zh-CN"/>
        </w:rPr>
        <w:t>元，较去年同期</w:t>
      </w:r>
      <w:proofErr w:type="gramStart"/>
      <w:r>
        <w:rPr>
          <w:rFonts w:ascii="宋体" w:hint="eastAsia"/>
          <w:szCs w:val="21"/>
          <w:lang w:val="zh-CN"/>
        </w:rPr>
        <w:t>营业外净损失</w:t>
      </w:r>
      <w:proofErr w:type="gramEnd"/>
      <w:r>
        <w:rPr>
          <w:rFonts w:ascii="宋体" w:hint="eastAsia"/>
          <w:szCs w:val="21"/>
          <w:lang w:val="zh-CN"/>
        </w:rPr>
        <w:t>人民币</w:t>
      </w:r>
      <w:r>
        <w:rPr>
          <w:rFonts w:ascii="宋体"/>
          <w:szCs w:val="21"/>
          <w:lang w:val="zh-CN"/>
        </w:rPr>
        <w:t>2,110,786.59</w:t>
      </w:r>
      <w:r>
        <w:rPr>
          <w:rFonts w:ascii="宋体" w:hint="eastAsia"/>
          <w:szCs w:val="21"/>
          <w:lang w:val="zh-CN"/>
        </w:rPr>
        <w:t>元大幅增加，增加的主要原因为本报告期处置固定资产收益增加所致；</w:t>
      </w:r>
      <w:r>
        <w:rPr>
          <w:rFonts w:ascii="宋体"/>
          <w:szCs w:val="21"/>
          <w:lang w:val="zh-CN"/>
        </w:rPr>
        <w:t xml:space="preserve"> </w:t>
      </w:r>
    </w:p>
    <w:p w:rsidR="00831310" w:rsidRDefault="00831310" w:rsidP="00831310">
      <w:pPr>
        <w:autoSpaceDE w:val="0"/>
        <w:autoSpaceDN w:val="0"/>
        <w:adjustRightInd w:val="0"/>
        <w:rPr>
          <w:rFonts w:ascii="宋体"/>
          <w:szCs w:val="21"/>
          <w:lang w:val="zh-CN"/>
        </w:rPr>
      </w:pPr>
    </w:p>
    <w:p w:rsidR="00831310" w:rsidRDefault="00831310" w:rsidP="00831310">
      <w:pPr>
        <w:autoSpaceDE w:val="0"/>
        <w:autoSpaceDN w:val="0"/>
        <w:adjustRightInd w:val="0"/>
        <w:rPr>
          <w:rFonts w:ascii="宋体"/>
          <w:szCs w:val="21"/>
          <w:lang w:val="zh-CN"/>
        </w:rPr>
      </w:pPr>
      <w:r>
        <w:rPr>
          <w:rFonts w:ascii="宋体"/>
          <w:szCs w:val="21"/>
          <w:lang w:val="zh-CN"/>
        </w:rPr>
        <w:t>12.2017</w:t>
      </w:r>
      <w:r>
        <w:rPr>
          <w:rFonts w:ascii="宋体" w:hint="eastAsia"/>
          <w:szCs w:val="21"/>
          <w:lang w:val="zh-CN"/>
        </w:rPr>
        <w:t>年</w:t>
      </w:r>
      <w:r>
        <w:rPr>
          <w:rFonts w:ascii="宋体"/>
          <w:szCs w:val="21"/>
          <w:lang w:val="zh-CN"/>
        </w:rPr>
        <w:t>1-3</w:t>
      </w:r>
      <w:r>
        <w:rPr>
          <w:rFonts w:ascii="宋体" w:hint="eastAsia"/>
          <w:szCs w:val="21"/>
          <w:lang w:val="zh-CN"/>
        </w:rPr>
        <w:t>月利润总额为人民币</w:t>
      </w:r>
      <w:r>
        <w:rPr>
          <w:rFonts w:ascii="宋体"/>
          <w:szCs w:val="21"/>
          <w:lang w:val="zh-CN"/>
        </w:rPr>
        <w:t>68,804,145.46</w:t>
      </w:r>
      <w:r>
        <w:rPr>
          <w:rFonts w:ascii="宋体" w:hint="eastAsia"/>
          <w:szCs w:val="21"/>
          <w:lang w:val="zh-CN"/>
        </w:rPr>
        <w:t>元，较去年同期增长</w:t>
      </w:r>
      <w:r>
        <w:rPr>
          <w:rFonts w:ascii="宋体"/>
          <w:szCs w:val="21"/>
          <w:lang w:val="zh-CN"/>
        </w:rPr>
        <w:t>131.11%</w:t>
      </w:r>
      <w:r>
        <w:rPr>
          <w:rFonts w:ascii="宋体" w:hint="eastAsia"/>
          <w:szCs w:val="21"/>
          <w:lang w:val="zh-CN"/>
        </w:rPr>
        <w:t>；</w:t>
      </w:r>
      <w:r>
        <w:rPr>
          <w:rFonts w:ascii="宋体"/>
          <w:szCs w:val="21"/>
          <w:lang w:val="zh-CN"/>
        </w:rPr>
        <w:t>2017</w:t>
      </w:r>
      <w:r>
        <w:rPr>
          <w:rFonts w:ascii="宋体" w:hint="eastAsia"/>
          <w:szCs w:val="21"/>
          <w:lang w:val="zh-CN"/>
        </w:rPr>
        <w:t>年</w:t>
      </w:r>
      <w:r>
        <w:rPr>
          <w:rFonts w:ascii="宋体"/>
          <w:szCs w:val="21"/>
          <w:lang w:val="zh-CN"/>
        </w:rPr>
        <w:t>1-3</w:t>
      </w:r>
      <w:r>
        <w:rPr>
          <w:rFonts w:ascii="宋体" w:hint="eastAsia"/>
          <w:szCs w:val="21"/>
          <w:lang w:val="zh-CN"/>
        </w:rPr>
        <w:t>月归属于母公司所有者的净利润总额为人民币</w:t>
      </w:r>
      <w:r>
        <w:rPr>
          <w:rFonts w:ascii="宋体"/>
          <w:szCs w:val="21"/>
          <w:lang w:val="zh-CN"/>
        </w:rPr>
        <w:t>51,550,425.89</w:t>
      </w:r>
      <w:r>
        <w:rPr>
          <w:rFonts w:ascii="宋体" w:hint="eastAsia"/>
          <w:szCs w:val="21"/>
          <w:lang w:val="zh-CN"/>
        </w:rPr>
        <w:t>元，较去年同期增长</w:t>
      </w:r>
      <w:r>
        <w:rPr>
          <w:rFonts w:ascii="宋体"/>
          <w:szCs w:val="21"/>
          <w:lang w:val="zh-CN"/>
        </w:rPr>
        <w:t>153.98%</w:t>
      </w:r>
      <w:r>
        <w:rPr>
          <w:rFonts w:ascii="宋体" w:hint="eastAsia"/>
          <w:szCs w:val="21"/>
          <w:lang w:val="zh-CN"/>
        </w:rPr>
        <w:t>，增长的主要原因为本报告期继续深入开展产品技术攻关活动，实现动力、原料消耗降低，积极开拓市场，销售规模进一步扩大所致；</w:t>
      </w:r>
    </w:p>
    <w:p w:rsidR="00831310" w:rsidRDefault="00831310" w:rsidP="00831310">
      <w:pPr>
        <w:autoSpaceDE w:val="0"/>
        <w:autoSpaceDN w:val="0"/>
        <w:adjustRightInd w:val="0"/>
        <w:rPr>
          <w:rFonts w:ascii="宋体"/>
          <w:szCs w:val="21"/>
          <w:lang w:val="zh-CN"/>
        </w:rPr>
      </w:pPr>
      <w:r>
        <w:rPr>
          <w:rFonts w:ascii="宋体"/>
          <w:szCs w:val="21"/>
          <w:lang w:val="zh-CN"/>
        </w:rPr>
        <w:t>13.2017</w:t>
      </w:r>
      <w:r>
        <w:rPr>
          <w:rFonts w:ascii="宋体" w:hint="eastAsia"/>
          <w:szCs w:val="21"/>
          <w:lang w:val="zh-CN"/>
        </w:rPr>
        <w:t>年</w:t>
      </w:r>
      <w:r>
        <w:rPr>
          <w:rFonts w:ascii="宋体"/>
          <w:szCs w:val="21"/>
          <w:lang w:val="zh-CN"/>
        </w:rPr>
        <w:t>1-3</w:t>
      </w:r>
      <w:r>
        <w:rPr>
          <w:rFonts w:ascii="宋体" w:hint="eastAsia"/>
          <w:szCs w:val="21"/>
          <w:lang w:val="zh-CN"/>
        </w:rPr>
        <w:t>月所得税费用总额为人民币</w:t>
      </w:r>
      <w:r>
        <w:rPr>
          <w:rFonts w:ascii="宋体"/>
          <w:szCs w:val="21"/>
          <w:lang w:val="zh-CN"/>
        </w:rPr>
        <w:t>14,122,917.14</w:t>
      </w:r>
      <w:r>
        <w:rPr>
          <w:rFonts w:ascii="宋体" w:hint="eastAsia"/>
          <w:szCs w:val="21"/>
          <w:lang w:val="zh-CN"/>
        </w:rPr>
        <w:t>元，较去年同期增长</w:t>
      </w:r>
      <w:r>
        <w:rPr>
          <w:rFonts w:ascii="宋体"/>
          <w:szCs w:val="21"/>
          <w:lang w:val="zh-CN"/>
        </w:rPr>
        <w:t>125.43%</w:t>
      </w:r>
      <w:r>
        <w:rPr>
          <w:rFonts w:ascii="宋体" w:hint="eastAsia"/>
          <w:szCs w:val="21"/>
          <w:lang w:val="zh-CN"/>
        </w:rPr>
        <w:t>，增长的主要原因为本报告期利润增加所致；</w:t>
      </w:r>
    </w:p>
    <w:p w:rsidR="00831310" w:rsidRDefault="00831310" w:rsidP="00831310">
      <w:pPr>
        <w:autoSpaceDE w:val="0"/>
        <w:autoSpaceDN w:val="0"/>
        <w:adjustRightInd w:val="0"/>
        <w:rPr>
          <w:rFonts w:ascii="宋体"/>
          <w:szCs w:val="21"/>
          <w:lang w:val="zh-CN"/>
        </w:rPr>
      </w:pPr>
      <w:r>
        <w:rPr>
          <w:rFonts w:ascii="宋体"/>
          <w:szCs w:val="21"/>
          <w:lang w:val="zh-CN"/>
        </w:rPr>
        <w:t>14.2017</w:t>
      </w:r>
      <w:r>
        <w:rPr>
          <w:rFonts w:ascii="宋体" w:hint="eastAsia"/>
          <w:szCs w:val="21"/>
          <w:lang w:val="zh-CN"/>
        </w:rPr>
        <w:t>年</w:t>
      </w:r>
      <w:r>
        <w:rPr>
          <w:rFonts w:ascii="宋体"/>
          <w:szCs w:val="21"/>
          <w:lang w:val="zh-CN"/>
        </w:rPr>
        <w:t>1-3</w:t>
      </w:r>
      <w:r>
        <w:rPr>
          <w:rFonts w:ascii="宋体" w:hint="eastAsia"/>
          <w:szCs w:val="21"/>
          <w:lang w:val="zh-CN"/>
        </w:rPr>
        <w:t>月投资活动产生的现金流量净额为人民币</w:t>
      </w:r>
      <w:r>
        <w:rPr>
          <w:rFonts w:ascii="宋体"/>
          <w:szCs w:val="21"/>
          <w:lang w:val="zh-CN"/>
        </w:rPr>
        <w:t>-100,816,810.37</w:t>
      </w:r>
      <w:r>
        <w:rPr>
          <w:rFonts w:ascii="宋体" w:hint="eastAsia"/>
          <w:szCs w:val="21"/>
          <w:lang w:val="zh-CN"/>
        </w:rPr>
        <w:t>元，较去年同期减少人民币</w:t>
      </w:r>
      <w:r>
        <w:rPr>
          <w:rFonts w:ascii="宋体"/>
          <w:szCs w:val="21"/>
          <w:lang w:val="zh-CN"/>
        </w:rPr>
        <w:t>53,477,477.42</w:t>
      </w:r>
      <w:r>
        <w:rPr>
          <w:rFonts w:ascii="宋体" w:hint="eastAsia"/>
          <w:szCs w:val="21"/>
          <w:lang w:val="zh-CN"/>
        </w:rPr>
        <w:t>元，减少的主要原因为本报告期工程项目投入增加所致；</w:t>
      </w:r>
    </w:p>
    <w:p w:rsidR="00831310" w:rsidRDefault="00831310" w:rsidP="00831310">
      <w:pPr>
        <w:autoSpaceDE w:val="0"/>
        <w:autoSpaceDN w:val="0"/>
        <w:adjustRightInd w:val="0"/>
        <w:rPr>
          <w:rFonts w:ascii="宋体"/>
          <w:szCs w:val="21"/>
          <w:lang w:val="zh-CN"/>
        </w:rPr>
      </w:pPr>
    </w:p>
    <w:p w:rsidR="00831310" w:rsidRDefault="00831310" w:rsidP="00831310">
      <w:pPr>
        <w:autoSpaceDE w:val="0"/>
        <w:autoSpaceDN w:val="0"/>
        <w:adjustRightInd w:val="0"/>
        <w:rPr>
          <w:rFonts w:ascii="宋体"/>
          <w:szCs w:val="21"/>
          <w:lang w:val="zh-CN"/>
        </w:rPr>
      </w:pPr>
      <w:r>
        <w:rPr>
          <w:rFonts w:ascii="宋体"/>
          <w:szCs w:val="21"/>
          <w:lang w:val="zh-CN"/>
        </w:rPr>
        <w:t>15.2017</w:t>
      </w:r>
      <w:r>
        <w:rPr>
          <w:rFonts w:ascii="宋体" w:hint="eastAsia"/>
          <w:szCs w:val="21"/>
          <w:lang w:val="zh-CN"/>
        </w:rPr>
        <w:t>年</w:t>
      </w:r>
      <w:r>
        <w:rPr>
          <w:rFonts w:ascii="宋体"/>
          <w:szCs w:val="21"/>
          <w:lang w:val="zh-CN"/>
        </w:rPr>
        <w:t>1-3</w:t>
      </w:r>
      <w:r>
        <w:rPr>
          <w:rFonts w:ascii="宋体" w:hint="eastAsia"/>
          <w:szCs w:val="21"/>
          <w:lang w:val="zh-CN"/>
        </w:rPr>
        <w:t>月筹资活动产生的现金流量净额为人民币</w:t>
      </w:r>
      <w:r>
        <w:rPr>
          <w:rFonts w:ascii="宋体"/>
          <w:szCs w:val="21"/>
          <w:lang w:val="zh-CN"/>
        </w:rPr>
        <w:t>28,857,774.10</w:t>
      </w:r>
      <w:r>
        <w:rPr>
          <w:rFonts w:ascii="宋体" w:hint="eastAsia"/>
          <w:szCs w:val="21"/>
          <w:lang w:val="zh-CN"/>
        </w:rPr>
        <w:t>元，较去年同期增加人民币</w:t>
      </w:r>
      <w:r>
        <w:rPr>
          <w:rFonts w:ascii="宋体"/>
          <w:szCs w:val="21"/>
          <w:lang w:val="zh-CN"/>
        </w:rPr>
        <w:t>54,471,120.38</w:t>
      </w:r>
      <w:r>
        <w:rPr>
          <w:rFonts w:ascii="宋体" w:hint="eastAsia"/>
          <w:szCs w:val="21"/>
          <w:lang w:val="zh-CN"/>
        </w:rPr>
        <w:t>元，增加的主要原因为本报告期新增借款所致。</w:t>
      </w:r>
    </w:p>
    <w:p w:rsidR="00831310" w:rsidRDefault="00831310" w:rsidP="00831310">
      <w:pPr>
        <w:pStyle w:val="Chapter"/>
        <w:outlineLvl w:val="1"/>
      </w:pPr>
      <w:r>
        <w:rPr>
          <w:rFonts w:hint="eastAsia"/>
        </w:rPr>
        <w:t>二、重要事项进展情况及其影响和解决方案的分析说明</w:t>
      </w:r>
    </w:p>
    <w:p w:rsidR="00831310" w:rsidRDefault="00831310" w:rsidP="00831310">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831310" w:rsidRDefault="00831310" w:rsidP="00831310">
      <w:pPr>
        <w:autoSpaceDE w:val="0"/>
        <w:autoSpaceDN w:val="0"/>
        <w:adjustRightInd w:val="0"/>
        <w:rPr>
          <w:rFonts w:ascii="宋体"/>
          <w:szCs w:val="21"/>
          <w:lang w:val="zh-CN"/>
        </w:rPr>
      </w:pPr>
      <w:r>
        <w:rPr>
          <w:rFonts w:ascii="宋体" w:hint="eastAsia"/>
          <w:szCs w:val="21"/>
          <w:lang w:val="zh-CN"/>
        </w:rPr>
        <w:t>本公司非公开发行</w:t>
      </w:r>
      <w:r>
        <w:rPr>
          <w:rFonts w:ascii="宋体"/>
          <w:szCs w:val="21"/>
          <w:lang w:val="zh-CN"/>
        </w:rPr>
        <w:t>A</w:t>
      </w:r>
      <w:r>
        <w:rPr>
          <w:rFonts w:ascii="宋体" w:hint="eastAsia"/>
          <w:szCs w:val="21"/>
          <w:lang w:val="zh-CN"/>
        </w:rPr>
        <w:t>股股票（包括第一期员工持股计划）申请于</w:t>
      </w:r>
      <w:r>
        <w:rPr>
          <w:rFonts w:ascii="宋体"/>
          <w:szCs w:val="21"/>
          <w:lang w:val="zh-CN"/>
        </w:rPr>
        <w:t>2016</w:t>
      </w:r>
      <w:r>
        <w:rPr>
          <w:rFonts w:ascii="宋体" w:hint="eastAsia"/>
          <w:szCs w:val="21"/>
          <w:lang w:val="zh-CN"/>
        </w:rPr>
        <w:t>年</w:t>
      </w:r>
      <w:r>
        <w:rPr>
          <w:rFonts w:ascii="宋体"/>
          <w:szCs w:val="21"/>
          <w:lang w:val="zh-CN"/>
        </w:rPr>
        <w:t>12</w:t>
      </w:r>
      <w:r>
        <w:rPr>
          <w:rFonts w:ascii="宋体" w:hint="eastAsia"/>
          <w:szCs w:val="21"/>
          <w:lang w:val="zh-CN"/>
        </w:rPr>
        <w:t>月</w:t>
      </w:r>
      <w:r>
        <w:rPr>
          <w:rFonts w:ascii="宋体"/>
          <w:szCs w:val="21"/>
          <w:lang w:val="zh-CN"/>
        </w:rPr>
        <w:t>7</w:t>
      </w:r>
      <w:r>
        <w:rPr>
          <w:rFonts w:ascii="宋体" w:hint="eastAsia"/>
          <w:szCs w:val="21"/>
          <w:lang w:val="zh-CN"/>
        </w:rPr>
        <w:t>日获得中国证监会发行审核委员会审核通过，目前尚未获得中国证监会正式批文。详情请见</w:t>
      </w:r>
      <w:r>
        <w:rPr>
          <w:rFonts w:ascii="宋体"/>
          <w:szCs w:val="21"/>
          <w:lang w:val="zh-CN"/>
        </w:rPr>
        <w:t>2016</w:t>
      </w:r>
      <w:r>
        <w:rPr>
          <w:rFonts w:ascii="宋体" w:hint="eastAsia"/>
          <w:szCs w:val="21"/>
          <w:lang w:val="zh-CN"/>
        </w:rPr>
        <w:t>年</w:t>
      </w:r>
      <w:r>
        <w:rPr>
          <w:rFonts w:ascii="宋体"/>
          <w:szCs w:val="21"/>
          <w:lang w:val="zh-CN"/>
        </w:rPr>
        <w:t>12</w:t>
      </w:r>
      <w:r>
        <w:rPr>
          <w:rFonts w:ascii="宋体" w:hint="eastAsia"/>
          <w:szCs w:val="21"/>
          <w:lang w:val="zh-CN"/>
        </w:rPr>
        <w:t>月</w:t>
      </w:r>
      <w:r>
        <w:rPr>
          <w:rFonts w:ascii="宋体"/>
          <w:szCs w:val="21"/>
          <w:lang w:val="zh-CN"/>
        </w:rPr>
        <w:t>8</w:t>
      </w:r>
      <w:r>
        <w:rPr>
          <w:rFonts w:ascii="宋体" w:hint="eastAsia"/>
          <w:szCs w:val="21"/>
          <w:lang w:val="zh-CN"/>
        </w:rPr>
        <w:t>日</w:t>
      </w:r>
      <w:proofErr w:type="gramStart"/>
      <w:r>
        <w:rPr>
          <w:rFonts w:ascii="宋体" w:hint="eastAsia"/>
          <w:szCs w:val="21"/>
          <w:lang w:val="zh-CN"/>
        </w:rPr>
        <w:t>及之前</w:t>
      </w:r>
      <w:proofErr w:type="gramEnd"/>
      <w:r>
        <w:rPr>
          <w:rFonts w:ascii="宋体" w:hint="eastAsia"/>
          <w:szCs w:val="21"/>
          <w:lang w:val="zh-CN"/>
        </w:rPr>
        <w:t>在《巨潮资讯网》上刊载的公告。</w:t>
      </w:r>
    </w:p>
    <w:p w:rsidR="00831310" w:rsidRDefault="00831310" w:rsidP="00831310">
      <w:pPr>
        <w:autoSpaceDE w:val="0"/>
        <w:autoSpaceDN w:val="0"/>
        <w:adjustRightInd w:val="0"/>
        <w:rPr>
          <w:rFonts w:eastAsia="Times New Roman"/>
          <w:szCs w:val="21"/>
          <w:lang w:val="zh-CN"/>
        </w:rPr>
      </w:pPr>
    </w:p>
    <w:p w:rsidR="00831310" w:rsidRDefault="00831310" w:rsidP="00831310">
      <w:pPr>
        <w:autoSpaceDE w:val="0"/>
        <w:autoSpaceDN w:val="0"/>
        <w:adjustRightInd w:val="0"/>
        <w:jc w:val="left"/>
        <w:rPr>
          <w:rFonts w:ascii="宋体"/>
          <w:lang w:val="zh-CN"/>
        </w:rPr>
      </w:pPr>
    </w:p>
    <w:tbl>
      <w:tblPr>
        <w:tblW w:w="0" w:type="auto"/>
        <w:tblInd w:w="108" w:type="dxa"/>
        <w:tblLayout w:type="fixed"/>
        <w:tblLook w:val="0000"/>
      </w:tblPr>
      <w:tblGrid>
        <w:gridCol w:w="3191"/>
        <w:gridCol w:w="3190"/>
        <w:gridCol w:w="3188"/>
      </w:tblGrid>
      <w:tr w:rsidR="00831310" w:rsidTr="00831310">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重要事项概述</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披露日期</w:t>
            </w:r>
          </w:p>
        </w:tc>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临时报告披露网站查询索引</w:t>
            </w:r>
          </w:p>
        </w:tc>
      </w:tr>
      <w:tr w:rsidR="00831310" w:rsidTr="00831310">
        <w:tc>
          <w:tcPr>
            <w:tcW w:w="3191" w:type="dxa"/>
            <w:tcBorders>
              <w:top w:val="single" w:sz="4" w:space="0" w:color="auto"/>
              <w:left w:val="single" w:sz="4" w:space="0" w:color="auto"/>
              <w:bottom w:val="single" w:sz="4" w:space="0" w:color="auto"/>
              <w:right w:val="single" w:sz="4" w:space="0" w:color="auto"/>
            </w:tcBorders>
            <w:vAlign w:val="center"/>
          </w:tcPr>
          <w:p w:rsidR="00831310" w:rsidRDefault="00831310" w:rsidP="00831310">
            <w:pPr>
              <w:jc w:val="left"/>
            </w:pPr>
            <w:r>
              <w:rPr>
                <w:rFonts w:hint="eastAsia"/>
              </w:rPr>
              <w:t>本公司非公开发行</w:t>
            </w:r>
            <w:r>
              <w:t>A</w:t>
            </w:r>
            <w:r>
              <w:rPr>
                <w:rFonts w:hint="eastAsia"/>
              </w:rPr>
              <w:t>股股票（包括第一期员工持股计划）申请于</w:t>
            </w:r>
            <w:r>
              <w:t>2016</w:t>
            </w:r>
            <w:r>
              <w:rPr>
                <w:rFonts w:hint="eastAsia"/>
              </w:rPr>
              <w:t>年</w:t>
            </w:r>
            <w:r>
              <w:t>12</w:t>
            </w:r>
            <w:r>
              <w:rPr>
                <w:rFonts w:hint="eastAsia"/>
              </w:rPr>
              <w:t>月</w:t>
            </w:r>
            <w:r>
              <w:t>7</w:t>
            </w:r>
            <w:r>
              <w:rPr>
                <w:rFonts w:hint="eastAsia"/>
              </w:rPr>
              <w:t>日获得中国证监会发行审核委员会审核通过，目前尚未获得中国证监会正式批文。</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t>2016</w:t>
            </w:r>
            <w:r>
              <w:rPr>
                <w:rFonts w:hint="eastAsia"/>
              </w:rPr>
              <w:t>年</w:t>
            </w:r>
            <w:r>
              <w:t>12</w:t>
            </w:r>
            <w:r>
              <w:rPr>
                <w:rFonts w:hint="eastAsia"/>
              </w:rPr>
              <w:t>月</w:t>
            </w:r>
            <w:r>
              <w:t>08</w:t>
            </w:r>
            <w:r>
              <w:rPr>
                <w:rFonts w:hint="eastAsia"/>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left"/>
            </w:pPr>
            <w:r>
              <w:t>2016</w:t>
            </w:r>
            <w:r>
              <w:rPr>
                <w:rFonts w:hint="eastAsia"/>
              </w:rPr>
              <w:t>年</w:t>
            </w:r>
            <w:r>
              <w:t>12</w:t>
            </w:r>
            <w:r>
              <w:rPr>
                <w:rFonts w:hint="eastAsia"/>
              </w:rPr>
              <w:t>月</w:t>
            </w:r>
            <w:r>
              <w:t>8</w:t>
            </w:r>
            <w:r>
              <w:rPr>
                <w:rFonts w:hint="eastAsia"/>
              </w:rPr>
              <w:t>日</w:t>
            </w:r>
            <w:proofErr w:type="gramStart"/>
            <w:r>
              <w:rPr>
                <w:rFonts w:hint="eastAsia"/>
              </w:rPr>
              <w:t>及之前</w:t>
            </w:r>
            <w:proofErr w:type="gramEnd"/>
            <w:r>
              <w:rPr>
                <w:rFonts w:hint="eastAsia"/>
              </w:rPr>
              <w:t>巨潮资讯网</w:t>
            </w:r>
          </w:p>
        </w:tc>
      </w:tr>
    </w:tbl>
    <w:p w:rsidR="00831310" w:rsidRDefault="00831310" w:rsidP="00831310">
      <w:pPr>
        <w:pStyle w:val="Chapter"/>
        <w:outlineLvl w:val="1"/>
      </w:pPr>
      <w:r>
        <w:rPr>
          <w:rFonts w:hint="eastAsia"/>
        </w:rPr>
        <w:t>三、公司实际控制人、股东、关联方、收购人以及公司等承诺相关方在报告期内超期未履行完毕的承诺事项</w:t>
      </w:r>
    </w:p>
    <w:p w:rsidR="00831310" w:rsidRDefault="00831310" w:rsidP="00831310">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831310" w:rsidRDefault="00831310" w:rsidP="00831310">
      <w:pPr>
        <w:jc w:val="left"/>
      </w:pPr>
      <w:r>
        <w:rPr>
          <w:rFonts w:hint="eastAsia"/>
        </w:rPr>
        <w:t>公司报告期不存在公司实际控制人、股东、关联方、收购人以及公司等承诺相关方在报告期内超期未履行完毕的承诺事项。</w:t>
      </w:r>
    </w:p>
    <w:p w:rsidR="00831310" w:rsidRDefault="00831310" w:rsidP="00831310">
      <w:pPr>
        <w:pStyle w:val="Chapter"/>
        <w:outlineLvl w:val="1"/>
      </w:pPr>
      <w:r>
        <w:rPr>
          <w:rFonts w:hint="eastAsia"/>
        </w:rPr>
        <w:t>四、对</w:t>
      </w:r>
      <w:r>
        <w:t>2017</w:t>
      </w:r>
      <w:r>
        <w:rPr>
          <w:rFonts w:hint="eastAsia"/>
        </w:rPr>
        <w:t>年</w:t>
      </w:r>
      <w:r>
        <w:t>1-6</w:t>
      </w:r>
      <w:r>
        <w:rPr>
          <w:rFonts w:hint="eastAsia"/>
        </w:rPr>
        <w:t>月经营业绩的预计</w:t>
      </w:r>
    </w:p>
    <w:p w:rsidR="00831310" w:rsidRDefault="00831310" w:rsidP="00831310">
      <w:pPr>
        <w:jc w:val="left"/>
      </w:pPr>
      <w:r>
        <w:rPr>
          <w:rFonts w:hint="eastAsia"/>
        </w:rPr>
        <w:t>预测年初至下</w:t>
      </w:r>
      <w:proofErr w:type="gramStart"/>
      <w:r>
        <w:rPr>
          <w:rFonts w:hint="eastAsia"/>
        </w:rPr>
        <w:t>一报告</w:t>
      </w:r>
      <w:proofErr w:type="gramEnd"/>
      <w:r>
        <w:rPr>
          <w:rFonts w:hint="eastAsia"/>
        </w:rPr>
        <w:t>期期末的累计净利润可能为亏损或者与上年同期相比发生大幅度变动的警示及原因说明</w:t>
      </w:r>
    </w:p>
    <w:p w:rsidR="00831310" w:rsidRDefault="00831310" w:rsidP="00831310">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831310" w:rsidRDefault="00831310" w:rsidP="00831310">
      <w:pPr>
        <w:pStyle w:val="Chapter"/>
        <w:outlineLvl w:val="1"/>
      </w:pPr>
      <w:r>
        <w:rPr>
          <w:rFonts w:hint="eastAsia"/>
        </w:rPr>
        <w:t>五、证券投资情况</w:t>
      </w:r>
    </w:p>
    <w:p w:rsidR="00831310" w:rsidRDefault="00831310" w:rsidP="00831310">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831310" w:rsidRDefault="00831310" w:rsidP="00831310">
      <w:pPr>
        <w:jc w:val="left"/>
      </w:pPr>
      <w:r>
        <w:rPr>
          <w:rFonts w:hint="eastAsia"/>
        </w:rPr>
        <w:t>公司报告期不存在证券投资。</w:t>
      </w:r>
    </w:p>
    <w:p w:rsidR="00831310" w:rsidRDefault="00831310" w:rsidP="00831310">
      <w:pPr>
        <w:pStyle w:val="Chapter"/>
        <w:outlineLvl w:val="1"/>
      </w:pPr>
      <w:r>
        <w:rPr>
          <w:rFonts w:hint="eastAsia"/>
        </w:rPr>
        <w:t>六、衍生</w:t>
      </w:r>
      <w:proofErr w:type="gramStart"/>
      <w:r>
        <w:rPr>
          <w:rFonts w:hint="eastAsia"/>
        </w:rPr>
        <w:t>品投资</w:t>
      </w:r>
      <w:proofErr w:type="gramEnd"/>
      <w:r>
        <w:rPr>
          <w:rFonts w:hint="eastAsia"/>
        </w:rPr>
        <w:t>情况</w:t>
      </w:r>
    </w:p>
    <w:p w:rsidR="00831310" w:rsidRDefault="00831310" w:rsidP="00831310">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831310" w:rsidRDefault="00831310" w:rsidP="00831310">
      <w:pPr>
        <w:jc w:val="left"/>
      </w:pPr>
      <w:r>
        <w:rPr>
          <w:rFonts w:hint="eastAsia"/>
        </w:rPr>
        <w:t>公司报告期不存在衍生品投资。</w:t>
      </w:r>
    </w:p>
    <w:p w:rsidR="00831310" w:rsidRDefault="00831310" w:rsidP="00831310">
      <w:pPr>
        <w:pStyle w:val="Chapter"/>
        <w:outlineLvl w:val="1"/>
      </w:pPr>
      <w:r>
        <w:rPr>
          <w:rFonts w:hint="eastAsia"/>
        </w:rPr>
        <w:t>七、报告期内接待调研、沟通、采访等活动登记表</w:t>
      </w:r>
    </w:p>
    <w:p w:rsidR="00831310" w:rsidRDefault="00831310" w:rsidP="00831310">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831310" w:rsidRDefault="00831310" w:rsidP="00831310">
      <w:pPr>
        <w:jc w:val="left"/>
      </w:pPr>
      <w:r>
        <w:rPr>
          <w:rFonts w:hint="eastAsia"/>
        </w:rPr>
        <w:t>公司报告期内未发生接待调研、沟通、采访等活动。</w:t>
      </w:r>
    </w:p>
    <w:p w:rsidR="00831310" w:rsidRDefault="00831310" w:rsidP="00831310">
      <w:pPr>
        <w:pStyle w:val="Chapter"/>
        <w:outlineLvl w:val="1"/>
      </w:pPr>
      <w:r>
        <w:rPr>
          <w:rFonts w:hint="eastAsia"/>
        </w:rPr>
        <w:t>八、违规对外担保情况</w:t>
      </w:r>
    </w:p>
    <w:p w:rsidR="00831310" w:rsidRDefault="00831310" w:rsidP="00831310">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831310" w:rsidRDefault="00831310" w:rsidP="00831310">
      <w:pPr>
        <w:jc w:val="left"/>
      </w:pPr>
      <w:r>
        <w:rPr>
          <w:rFonts w:hint="eastAsia"/>
        </w:rPr>
        <w:t>公司报告期无违规对外担保情况。</w:t>
      </w:r>
    </w:p>
    <w:p w:rsidR="00831310" w:rsidRDefault="00831310" w:rsidP="00831310">
      <w:pPr>
        <w:pStyle w:val="Chapter"/>
        <w:outlineLvl w:val="1"/>
      </w:pPr>
      <w:r>
        <w:rPr>
          <w:rFonts w:hint="eastAsia"/>
        </w:rPr>
        <w:t>九、控股股东及其关联方对上市公司的非经营性占用资金情况</w:t>
      </w:r>
    </w:p>
    <w:p w:rsidR="00831310" w:rsidRDefault="00831310" w:rsidP="00831310">
      <w:pPr>
        <w:jc w:val="left"/>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rsidR="00831310" w:rsidRDefault="00831310" w:rsidP="00831310">
      <w:pPr>
        <w:jc w:val="left"/>
      </w:pPr>
      <w:r>
        <w:rPr>
          <w:rFonts w:hint="eastAsia"/>
        </w:rPr>
        <w:t>公司报告期不存在控股股东及其关联方对上市公司的非经营性占用资金。</w:t>
      </w:r>
    </w:p>
    <w:p w:rsidR="00831310" w:rsidRDefault="00831310" w:rsidP="00831310">
      <w:pPr>
        <w:jc w:val="left"/>
        <w:sectPr w:rsidR="00831310">
          <w:pgSz w:w="11906" w:h="16838"/>
          <w:pgMar w:top="1440" w:right="1134" w:bottom="1440" w:left="1134" w:header="851" w:footer="992" w:gutter="0"/>
          <w:cols w:space="720"/>
          <w:docGrid w:type="lines" w:linePitch="312"/>
        </w:sectPr>
      </w:pPr>
    </w:p>
    <w:p w:rsidR="00831310" w:rsidRDefault="00831310" w:rsidP="00831310">
      <w:pPr>
        <w:pStyle w:val="a9"/>
        <w:outlineLvl w:val="0"/>
      </w:pPr>
      <w:bookmarkStart w:id="4" w:name="_Toc300000087"/>
      <w:r>
        <w:rPr>
          <w:rFonts w:hint="eastAsia"/>
        </w:rPr>
        <w:t>第四节</w:t>
      </w:r>
      <w:r>
        <w:t xml:space="preserve"> </w:t>
      </w:r>
      <w:r>
        <w:rPr>
          <w:rFonts w:hint="eastAsia"/>
        </w:rPr>
        <w:t>财务报表</w:t>
      </w:r>
      <w:bookmarkEnd w:id="4"/>
    </w:p>
    <w:p w:rsidR="00831310" w:rsidRDefault="00831310" w:rsidP="00831310">
      <w:pPr>
        <w:pStyle w:val="Chapter"/>
        <w:outlineLvl w:val="1"/>
      </w:pPr>
      <w:r>
        <w:rPr>
          <w:rFonts w:hint="eastAsia"/>
        </w:rPr>
        <w:t>一、财务报表</w:t>
      </w:r>
    </w:p>
    <w:p w:rsidR="00831310" w:rsidRDefault="00831310" w:rsidP="00831310">
      <w:pPr>
        <w:pStyle w:val="Section"/>
        <w:outlineLvl w:val="2"/>
      </w:pPr>
      <w:r>
        <w:t>1</w:t>
      </w:r>
      <w:r>
        <w:rPr>
          <w:rFonts w:hint="eastAsia"/>
        </w:rPr>
        <w:t>、合并资产负债表</w:t>
      </w:r>
    </w:p>
    <w:p w:rsidR="00831310" w:rsidRDefault="00831310" w:rsidP="00831310">
      <w:pPr>
        <w:jc w:val="left"/>
      </w:pPr>
      <w:r>
        <w:rPr>
          <w:rFonts w:hint="eastAsia"/>
        </w:rPr>
        <w:t>编制单位：山东新华制药股份有限公司</w:t>
      </w:r>
    </w:p>
    <w:p w:rsidR="00831310" w:rsidRDefault="00831310" w:rsidP="00831310">
      <w:pPr>
        <w:jc w:val="center"/>
      </w:pPr>
      <w:r>
        <w:t>2017</w:t>
      </w:r>
      <w:r>
        <w:rPr>
          <w:rFonts w:hint="eastAsia"/>
        </w:rPr>
        <w:t>年</w:t>
      </w:r>
      <w:r>
        <w:t>03</w:t>
      </w:r>
      <w:r>
        <w:rPr>
          <w:rFonts w:hint="eastAsia"/>
        </w:rPr>
        <w:t>月</w:t>
      </w:r>
      <w:r>
        <w:t>31</w:t>
      </w:r>
      <w:r>
        <w:rPr>
          <w:rFonts w:hint="eastAsia"/>
        </w:rPr>
        <w:t>日</w:t>
      </w:r>
    </w:p>
    <w:p w:rsidR="00831310" w:rsidRDefault="00831310" w:rsidP="00831310">
      <w:pPr>
        <w:jc w:val="right"/>
      </w:pPr>
      <w:r>
        <w:rPr>
          <w:rFonts w:hint="eastAsia"/>
        </w:rPr>
        <w:t>单位：元</w:t>
      </w:r>
    </w:p>
    <w:tbl>
      <w:tblPr>
        <w:tblW w:w="0" w:type="auto"/>
        <w:tblInd w:w="108" w:type="dxa"/>
        <w:tblLayout w:type="fixed"/>
        <w:tblLook w:val="0000"/>
      </w:tblPr>
      <w:tblGrid>
        <w:gridCol w:w="2967"/>
        <w:gridCol w:w="3300"/>
        <w:gridCol w:w="3301"/>
      </w:tblGrid>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期末余额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期初余额</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543,195,108.52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561,331,585.33</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结算备付金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拆出资金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210,835,949.09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107,005,175.90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509,404,636.57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343,392,085.04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32,871,484.67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29,151,280.72</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应收保费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应收分保账款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47,635,365.31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46,590,419.30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469,737,430.19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559,487,133.74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划分为持有待售的资产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9,460,175.78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63,631,331.50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1,823,140,150.13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1,710,589,011.53</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发放贷款及垫款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191,505,616.00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189,474,784.00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74,455,539.16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75,635,320.09</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2,085,847,569.40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2,120,995,100.52</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320,078,012.61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274,420,412.04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工程物资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固定资产清理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280,730,641.79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283,274,940.35</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28,520,995.03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25,630,317.07</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42,766,078.24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42,766,078.24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3,023,904,452.23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3,012,196,952.31</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4,847,044,602.36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4,722,785,963.84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1,010,000,000.00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910,000,000.00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拆入资金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以公允价值计量且其变动计入当期损益的金融负债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263,274,541.15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254,077,627.50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478,922,799.66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433,116,202.88</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46,547,855.36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67,393,449.91</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27,107,692.68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66,078,587.82</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40,462,815.69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17,694,627.36</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10,413,266.40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3,902,110.16</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5,310,599.53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5,310,599.55</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170,289,921.56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163,347,304.20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应付分保账款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代理承销证券款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划分为持有待售的负债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296,666,666.66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344,854,126.83</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4,732,000.00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4,732,000.00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2,353,728,158.69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2,270,506,636.21</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100,000,000.00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50,984,027.29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64,938,492.33</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专项应付款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84,960,000.00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84,960,000.00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118,371,503.83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118,317,680.77</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1,325,065.45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1,194,228.88</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3,561,500.00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3,561,500.00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359,202,096.57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372,971,901.98</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2,712,930,255.26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2,643,478,538.19</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457,312,830.00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457,312,830.00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513,092,452.66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513,092,452.66</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141,024,996.97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139,421,221.69</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221,217,539.36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221,217,539.36</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一般风险准备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708,926,206.51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657,375,780.62</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2,041,574,025.50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1,988,419,824.33</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少数股东权益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92,540,321.60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90,887,601.32</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2,134,114,347.10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2,079,307,425.65</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4,847,044,602.36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4,722,785,963.84</w:t>
            </w:r>
          </w:p>
        </w:tc>
      </w:tr>
    </w:tbl>
    <w:p w:rsidR="00831310" w:rsidRDefault="00831310" w:rsidP="00831310">
      <w:pPr>
        <w:spacing w:before="300"/>
      </w:pPr>
      <w:r>
        <w:rPr>
          <w:rFonts w:hint="eastAsia"/>
        </w:rPr>
        <w:t>法定代表人：张代铭</w:t>
      </w:r>
      <w:r>
        <w:t xml:space="preserve">                     </w:t>
      </w:r>
      <w:r>
        <w:rPr>
          <w:rFonts w:hint="eastAsia"/>
        </w:rPr>
        <w:t>主管会计工作负责人：侯宁</w:t>
      </w:r>
      <w:r>
        <w:t xml:space="preserve">                     </w:t>
      </w:r>
      <w:r>
        <w:rPr>
          <w:rFonts w:hint="eastAsia"/>
        </w:rPr>
        <w:t>会计机构负责人：何晓洪</w:t>
      </w:r>
    </w:p>
    <w:p w:rsidR="00831310" w:rsidRDefault="00831310" w:rsidP="00831310">
      <w:pPr>
        <w:pStyle w:val="Section"/>
        <w:outlineLvl w:val="2"/>
      </w:pPr>
      <w:r>
        <w:t>2</w:t>
      </w:r>
      <w:r>
        <w:rPr>
          <w:rFonts w:hint="eastAsia"/>
        </w:rPr>
        <w:t>、母公司资产负债表</w:t>
      </w:r>
    </w:p>
    <w:p w:rsidR="00831310" w:rsidRDefault="00831310" w:rsidP="00831310">
      <w:pPr>
        <w:jc w:val="right"/>
      </w:pPr>
      <w:r>
        <w:rPr>
          <w:rFonts w:hint="eastAsia"/>
        </w:rPr>
        <w:t>单位：元</w:t>
      </w:r>
    </w:p>
    <w:tbl>
      <w:tblPr>
        <w:tblW w:w="0" w:type="auto"/>
        <w:tblInd w:w="108" w:type="dxa"/>
        <w:tblLayout w:type="fixed"/>
        <w:tblLook w:val="0000"/>
      </w:tblPr>
      <w:tblGrid>
        <w:gridCol w:w="2967"/>
        <w:gridCol w:w="3300"/>
        <w:gridCol w:w="3301"/>
      </w:tblGrid>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期末余额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期初余额</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386,500,754.74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411,793,216.01</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117,663,761.16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23,918,803.51</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509,263,210.13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395,066,300.16</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12,263,882.56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13,248,155.73</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397,105,854.06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385,582,110.35</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277,363,939.63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337,586,564.54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划分为持有待售的资产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4,503,905.82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22,396,162.44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1,704,665,308.10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1,589,591,312.74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191,505,616.00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189,474,784.00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468,244,841.06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468,244,841.06</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74,455,539.16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75,635,320.09</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1,519,707,142.83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1,541,339,434.25</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286,694,890.58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252,406,424.32</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工程物资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固定资产清理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193,079,234.08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194,518,915.58</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2,733,687,263.71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2,721,619,719.30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4,438,352,571.81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4,311,211,032.04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1,010,000,000.00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910,000,000.00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以公允价值计量且其变动计入当期损益的金融负债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238,881,517.38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260,882,903.73</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354,387,089.96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292,294,044.83</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25,175,474.64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31,909,634.37</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19,721,027.44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55,727,887.54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21,416,260.49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7,406,061.94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10,413,266.40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3,902,110.16</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5,310,599.53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5,310,599.55</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149,114,543.33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137,174,275.14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划分为持有待售的负债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296,666,666.66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344,854,126.83</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4,732,000.00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4,732,000.00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2,135,818,445.83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2,054,193,644.09</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100,000,000.00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50,984,027.29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64,938,492.33</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专项应付款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84,960,000.00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84,960,000.00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118,371,503.83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118,317,680.77</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1,250,555.31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945,930.51</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3,561,500.00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3,561,500.00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359,127,586.43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372,723,603.61</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2,494,946,032.26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2,426,917,247.70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457,312,830.00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457,312,830.00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527,841,785.86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527,841,785.86</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142,018,253.30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140,292,046.10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214,775,900.23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214,775,900.23</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601,457,770.16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544,071,222.15</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1,943,406,539.55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1,884,293,784.34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4,438,352,571.81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4,311,211,032.04</w:t>
            </w:r>
          </w:p>
        </w:tc>
      </w:tr>
    </w:tbl>
    <w:p w:rsidR="00831310" w:rsidRDefault="00831310" w:rsidP="00831310">
      <w:pPr>
        <w:pStyle w:val="Section"/>
        <w:outlineLvl w:val="2"/>
      </w:pPr>
      <w:r>
        <w:t>3</w:t>
      </w:r>
      <w:r>
        <w:rPr>
          <w:rFonts w:hint="eastAsia"/>
        </w:rPr>
        <w:t>、合并利润表</w:t>
      </w:r>
    </w:p>
    <w:p w:rsidR="00831310" w:rsidRDefault="00831310" w:rsidP="00831310">
      <w:pPr>
        <w:jc w:val="right"/>
      </w:pPr>
      <w:r>
        <w:rPr>
          <w:rFonts w:hint="eastAsia"/>
        </w:rPr>
        <w:t>单位：元</w:t>
      </w:r>
    </w:p>
    <w:tbl>
      <w:tblPr>
        <w:tblW w:w="0" w:type="auto"/>
        <w:tblInd w:w="108" w:type="dxa"/>
        <w:tblLayout w:type="fixed"/>
        <w:tblLook w:val="0000"/>
      </w:tblPr>
      <w:tblGrid>
        <w:gridCol w:w="3080"/>
        <w:gridCol w:w="3210"/>
        <w:gridCol w:w="3277"/>
      </w:tblGrid>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项目</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本期发生额</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上期发生额</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一、营业总收入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1,295,383,415.66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1,004,837,793.33</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其中：营业收入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1,295,383,415.66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1,004,837,793.33</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已赚保费</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手续费及佣金收入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二、营业总成本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1,236,936,513.90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972,968,247.86</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其中：营业成本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945,943,210.71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759,549,134.57</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利息支出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手续费及佣金支出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退保金</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赔付支出净额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提取保险合同准备金净额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保单红利支出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分保费用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税金及附加</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16,406,920.23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6,981,611.67</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销售费用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152,556,515.24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104,376,053.41</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管理费用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106,151,166.96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79,813,029.98</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财务费用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15,878,700.76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20,098,418.23</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资产减值损失</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2,150,000.00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加：公允价值变动收益（损失以“－”号填列）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投资收益（损失以“－”号填列）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50,054.83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12,916.67</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其中：对联营企业和合营企业的投资收益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汇兑收益（损失以“</w:t>
            </w:r>
            <w:r>
              <w:t>-</w:t>
            </w:r>
            <w:r>
              <w:rPr>
                <w:rFonts w:hint="eastAsia"/>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三、营业利润（亏损以“－”号填列）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58,496,956.59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31,882,462.14</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加：营业外收入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12,293,540.48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3,489,026.97</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其中：非流动资产处置利得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7,807,942.32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815,242.31</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减：营业外支出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1,986,351.61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5,599,813.56</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其中：非流动资产处置损失</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125,259.36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5,271.88</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四、利润总额（亏损总额以“－”号填列）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68,804,145.46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29,771,675.55</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减：所得税费用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14,122,917.14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6,264,751.10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五、净利润（净亏损以“－”号填列）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54,681,228.32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23,506,924.45</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归属于母公司所有者的净利润</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51,550,425.89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20,296,756.30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少数股东损益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3,130,802.43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3,210,168.15</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六、其他综合收益的税后净额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2,615,625.45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-17,043,082.27</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归属母公司所有者的其他综合收益的税后净额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2,645,682.52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-17,043,082.27</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（一）以后不能重分类进损益的其他综合收益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1.</w:t>
            </w:r>
            <w:r>
              <w:rPr>
                <w:rFonts w:hint="eastAsia"/>
              </w:rPr>
              <w:t>重新计量设定受益计划净负债或净资产的变动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2.</w:t>
            </w:r>
            <w:r>
              <w:rPr>
                <w:rFonts w:hint="eastAsia"/>
              </w:rPr>
              <w:t>权益法下在被投资单位不能重分类进损益的其他综合收益中享有的份额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（二）以后将重分类进损益的其他综合收益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2,645,682.52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-17,043,082.27</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1.</w:t>
            </w:r>
            <w:r>
              <w:rPr>
                <w:rFonts w:hint="eastAsia"/>
              </w:rPr>
              <w:t>权益法下在被投资单位以后将重分类进损益的其他综合收益中享有的份额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2.</w:t>
            </w:r>
            <w:r>
              <w:rPr>
                <w:rFonts w:hint="eastAsia"/>
              </w:rPr>
              <w:t>可供出售金融资产公允价值变动损益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1,726,207.20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-17,255,598.40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3.</w:t>
            </w:r>
            <w:r>
              <w:rPr>
                <w:rFonts w:hint="eastAsia"/>
              </w:rPr>
              <w:t>持有至到期</w:t>
            </w:r>
            <w:proofErr w:type="gramStart"/>
            <w:r>
              <w:rPr>
                <w:rFonts w:hint="eastAsia"/>
              </w:rPr>
              <w:t>投资重</w:t>
            </w:r>
            <w:proofErr w:type="gramEnd"/>
            <w:r>
              <w:rPr>
                <w:rFonts w:hint="eastAsia"/>
              </w:rPr>
              <w:t>分类为可供出售金融资产损益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4.</w:t>
            </w:r>
            <w:r>
              <w:rPr>
                <w:rFonts w:hint="eastAsia"/>
              </w:rPr>
              <w:t>现金流量套期损益的有效部分</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5.</w:t>
            </w:r>
            <w:r>
              <w:rPr>
                <w:rFonts w:hint="eastAsia"/>
              </w:rPr>
              <w:t>外币财务报表折算差额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919,475.32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212,516.13</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6.</w:t>
            </w:r>
            <w:r>
              <w:rPr>
                <w:rFonts w:hint="eastAsia"/>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归属于少数股东的其他综合收益的税后净额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-30,057.07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七、综合收益总额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57,296,853.77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6,463,842.18</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归属于母公司所有者的综合收益总额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54,196,108.41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3,253,674.03</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归属于少数股东的综合收益总额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3,100,745.36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3,210,168.15</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八、每股收益：</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（一）基本每股收益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0.11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0.04</w:t>
            </w:r>
          </w:p>
        </w:tc>
      </w:tr>
      <w:tr w:rsidR="00831310" w:rsidTr="00831310">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（二）稀释每股收益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0.11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0.04</w:t>
            </w:r>
          </w:p>
        </w:tc>
      </w:tr>
    </w:tbl>
    <w:p w:rsidR="00831310" w:rsidRDefault="00831310" w:rsidP="00831310">
      <w:pPr>
        <w:jc w:val="left"/>
      </w:pPr>
      <w:r>
        <w:rPr>
          <w:rFonts w:hint="eastAsia"/>
        </w:rPr>
        <w:t>本期发生同</w:t>
      </w:r>
      <w:proofErr w:type="gramStart"/>
      <w:r>
        <w:rPr>
          <w:rFonts w:hint="eastAsia"/>
        </w:rPr>
        <w:t>一控制</w:t>
      </w:r>
      <w:proofErr w:type="gramEnd"/>
      <w:r>
        <w:rPr>
          <w:rFonts w:hint="eastAsia"/>
        </w:rPr>
        <w:t>下企业合并的，被合并方在合并前实现的净利润为：元，上期被合并方实现的净利润为：元。</w:t>
      </w:r>
    </w:p>
    <w:p w:rsidR="00831310" w:rsidRDefault="00831310" w:rsidP="00831310">
      <w:pPr>
        <w:spacing w:before="300"/>
      </w:pPr>
      <w:r>
        <w:rPr>
          <w:rFonts w:hint="eastAsia"/>
        </w:rPr>
        <w:t>法定代表人：张代铭</w:t>
      </w:r>
      <w:r>
        <w:t xml:space="preserve">                     </w:t>
      </w:r>
      <w:r>
        <w:rPr>
          <w:rFonts w:hint="eastAsia"/>
        </w:rPr>
        <w:t>主管会计工作负责人：侯宁</w:t>
      </w:r>
      <w:r>
        <w:t xml:space="preserve">                     </w:t>
      </w:r>
      <w:r>
        <w:rPr>
          <w:rFonts w:hint="eastAsia"/>
        </w:rPr>
        <w:t>会计机构负责人：何晓洪</w:t>
      </w:r>
    </w:p>
    <w:p w:rsidR="00831310" w:rsidRDefault="00831310" w:rsidP="00831310">
      <w:pPr>
        <w:pStyle w:val="Section"/>
        <w:outlineLvl w:val="2"/>
      </w:pPr>
      <w:r>
        <w:t>4</w:t>
      </w:r>
      <w:r>
        <w:rPr>
          <w:rFonts w:hint="eastAsia"/>
        </w:rPr>
        <w:t>、母公司利润表</w:t>
      </w:r>
    </w:p>
    <w:p w:rsidR="00831310" w:rsidRDefault="00831310" w:rsidP="00831310">
      <w:pPr>
        <w:jc w:val="right"/>
      </w:pPr>
      <w:r>
        <w:rPr>
          <w:rFonts w:hint="eastAsia"/>
        </w:rPr>
        <w:t>单位：元</w:t>
      </w:r>
    </w:p>
    <w:tbl>
      <w:tblPr>
        <w:tblW w:w="0" w:type="auto"/>
        <w:tblInd w:w="108" w:type="dxa"/>
        <w:tblLayout w:type="fixed"/>
        <w:tblLook w:val="0000"/>
      </w:tblPr>
      <w:tblGrid>
        <w:gridCol w:w="2967"/>
        <w:gridCol w:w="3300"/>
        <w:gridCol w:w="3301"/>
      </w:tblGrid>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上期发生额</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一、营业收入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682,888,870.35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557,979,983.74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减：营业成本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503,277,951.30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443,608,603.42</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9,536,875.42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3,435,964.64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15,551,588.32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10,742,658.60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85,472,791.49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61,446,223.30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15,627,577.51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20,196,064.26</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资产减值损失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2,150,000.00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加：公允价值变动收益（损失以“－”号填列）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投资收益（损失以“－”号填列）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2,691,554.92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17,869,379.21</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二、营业利润（亏损以“－”号填列）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56,113,641.23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34,269,848.73</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11,921,397.43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3,428,259.81</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其中：非流动资产处置利得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7,501,959.41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815,242.31</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1,155,935.47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1,404,710.47</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其中：非流动资产处置损失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5,271.88</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三、利润总额（亏损总额以“－”号填列）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66,879,103.19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36,293,398.07</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9,492,555.18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2,763,602.83</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四、净利润（净亏损以“－”号填列）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57,386,548.01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33,529,795.24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五、其他综合收益的税后净额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1,726,207.20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-17,255,598.40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（一）以后不能重分类进损益的其他综合收益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1.</w:t>
            </w:r>
            <w:r>
              <w:rPr>
                <w:rFonts w:hint="eastAsia"/>
              </w:rPr>
              <w:t>重新计量设定受益计划净负债或净资产的变动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2.</w:t>
            </w:r>
            <w:r>
              <w:rPr>
                <w:rFonts w:hint="eastAsia"/>
              </w:rPr>
              <w:t>权益法下在被投资单位不能重分类进损益的其他综合收益中享有的份额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（二）以后将重分类进损益的其他综合收益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1,726,207.20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-17,255,598.40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1.</w:t>
            </w:r>
            <w:r>
              <w:rPr>
                <w:rFonts w:hint="eastAsia"/>
              </w:rPr>
              <w:t>权益法下在被投资单位以后将重分类进损益的其他综合收益中享有的份额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2.</w:t>
            </w:r>
            <w:r>
              <w:rPr>
                <w:rFonts w:hint="eastAsia"/>
              </w:rPr>
              <w:t>可供出售金融资产公允价值变动损益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1,726,207.20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-17,255,598.40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3.</w:t>
            </w:r>
            <w:r>
              <w:rPr>
                <w:rFonts w:hint="eastAsia"/>
              </w:rPr>
              <w:t>持有至到期</w:t>
            </w:r>
            <w:proofErr w:type="gramStart"/>
            <w:r>
              <w:rPr>
                <w:rFonts w:hint="eastAsia"/>
              </w:rPr>
              <w:t>投资重</w:t>
            </w:r>
            <w:proofErr w:type="gramEnd"/>
            <w:r>
              <w:rPr>
                <w:rFonts w:hint="eastAsia"/>
              </w:rPr>
              <w:t>分类为可供出售金融资产损益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4.</w:t>
            </w:r>
            <w:r>
              <w:rPr>
                <w:rFonts w:hint="eastAsia"/>
              </w:rPr>
              <w:t>现金流量套期损益的有效部分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5.</w:t>
            </w:r>
            <w:r>
              <w:rPr>
                <w:rFonts w:hint="eastAsia"/>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w:t>
            </w:r>
            <w:r>
              <w:t>6.</w:t>
            </w:r>
            <w:r>
              <w:rPr>
                <w:rFonts w:hint="eastAsia"/>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六、综合收益总额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59,112,755.21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16,274,196.84</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七、每股收益：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w:t>
            </w:r>
          </w:p>
        </w:tc>
      </w:tr>
      <w:tr w:rsidR="00831310" w:rsidTr="00831310">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w:t>
            </w:r>
          </w:p>
        </w:tc>
      </w:tr>
    </w:tbl>
    <w:p w:rsidR="00831310" w:rsidRDefault="00831310" w:rsidP="00831310">
      <w:pPr>
        <w:pStyle w:val="Section"/>
        <w:outlineLvl w:val="2"/>
      </w:pPr>
      <w:r>
        <w:t>5</w:t>
      </w:r>
      <w:r>
        <w:rPr>
          <w:rFonts w:hint="eastAsia"/>
        </w:rPr>
        <w:t>、合并现金流量表</w:t>
      </w:r>
    </w:p>
    <w:p w:rsidR="00831310" w:rsidRDefault="00831310" w:rsidP="00831310">
      <w:pPr>
        <w:jc w:val="right"/>
      </w:pPr>
      <w:r>
        <w:rPr>
          <w:rFonts w:hint="eastAsia"/>
        </w:rPr>
        <w:t>单位：元</w:t>
      </w:r>
    </w:p>
    <w:tbl>
      <w:tblPr>
        <w:tblW w:w="0" w:type="auto"/>
        <w:tblInd w:w="108" w:type="dxa"/>
        <w:tblLayout w:type="fixed"/>
        <w:tblLook w:val="0000"/>
      </w:tblPr>
      <w:tblGrid>
        <w:gridCol w:w="2922"/>
        <w:gridCol w:w="3253"/>
        <w:gridCol w:w="3392"/>
      </w:tblGrid>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项目</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本期发生额</w:t>
            </w: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上期发生额</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一、经营活动产生的现金流量：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销售商品、提供劳务收到的现金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742,149,766.42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642,116,063.65</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客户存款和同业存放款项净增加额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向中央银行借款净增加额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向其他金融机构拆入资金净增加额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收到原保险合同保费取得的现金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收到再保险业务现金净额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保户储金及投资款净增加额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处置以公允价值计量且其变动计入当期损益的金融资产净增加额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收取利息、手续费及佣金的现金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拆入资金净增加额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回购业务资金净增加额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收到的税费返还</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10,591,215.45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13,409,519.09</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收到其他与经营活动有关的现金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23,897,941.64</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10,300,913.47</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经营活动现金流入小计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776,638,923.51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665,826,496.21</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购买商品、接受劳务支付的现金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347,069,273.27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353,931,103.34</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客户贷款及垫款净增加额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存放中央银行和同业款项净增加额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支付原保险合同赔付款项的现金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支付利息、手续费及佣金的现金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支付保单红利的现金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支付给职工以及为职工支付的现金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159,932,023.53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116,957,079.45</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支付的各项税费</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60,776,741.36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39,281,659.40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支付其他与经营活动有关的现金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154,555,122.59</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108,167,838.81</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经营活动现金流出小计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722,333,160.75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618,337,681.00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经营活动产生的现金流量净额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54,305,762.76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47,488,815.21</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二、投资活动产生的现金流量：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收回投资收到的现金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取得投资收益收到的现金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50,054.83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12,916.67</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处置固定资产、无形资产和其他长期资产收回的现金净额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8,199,994.00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288,880.00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处置子公司及其他营业单位收到的现金净额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收到其他与投资活动有关的现金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30,000,000.00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投资活动现金流入小计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38,250,048.83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301,796.67</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购建固定资产、无形资产和其他长期资产支付的现金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139,066,859.20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47,641,129.62</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投资支付的现金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质押贷款净增加额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取得子公司及其他营业单位支付的现金净额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支付其他与投资活动有关的现金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投资活动现金流出小计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139,066,859.20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47,641,129.62</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投资活动产生的现金流量净额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-100,816,810.37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-47,339,332.95</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三、筹资活动产生的现金流量：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吸收投资收到的现金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其中：子公司吸收少数股东投资收到的现金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取得借款收到的现金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100,000,000.00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发行债券收到的现金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收到其他与筹资活动有关的现金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筹资活动现金流入小计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100,000,000.00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偿还债务支付的现金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45,000,000.00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1,000,000.00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分配股利、利润或偿付利息支付的现金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8,880,858.33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15,535,218.93</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其中：子公司支付给少数股东的股利、利润</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1,448,025.08</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11,000,000.00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支付其他与筹资活动有关的现金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17,261,367.57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9,078,127.35</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筹资活动现金流出小计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71,142,225.90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25,613,346.28</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筹资活动产生的现金流量净额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28,857,774.10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-25,613,346.28</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四、汇率变动对现金及现金等价物的影响</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-560,641.65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-387,687.93</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五、现金及现金等价物净增加额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-18,213,915.16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-25,851,551.95</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加：期初现金及现金等价物余额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493,092,656.71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366,638,884.09</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六、期末现金及现金等价物余额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474,878,741.55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340,787,332.14</w:t>
            </w:r>
          </w:p>
        </w:tc>
      </w:tr>
    </w:tbl>
    <w:p w:rsidR="00831310" w:rsidRDefault="00831310" w:rsidP="00831310">
      <w:pPr>
        <w:pStyle w:val="Section"/>
        <w:outlineLvl w:val="2"/>
      </w:pPr>
      <w:r>
        <w:t>6</w:t>
      </w:r>
      <w:r>
        <w:rPr>
          <w:rFonts w:hint="eastAsia"/>
        </w:rPr>
        <w:t>、母公司现金流量表</w:t>
      </w:r>
    </w:p>
    <w:p w:rsidR="00831310" w:rsidRDefault="00831310" w:rsidP="00831310">
      <w:pPr>
        <w:jc w:val="right"/>
      </w:pPr>
      <w:r>
        <w:rPr>
          <w:rFonts w:hint="eastAsia"/>
        </w:rPr>
        <w:t>单位：元</w:t>
      </w:r>
    </w:p>
    <w:tbl>
      <w:tblPr>
        <w:tblW w:w="0" w:type="auto"/>
        <w:tblInd w:w="108" w:type="dxa"/>
        <w:tblLayout w:type="fixed"/>
        <w:tblLook w:val="0000"/>
      </w:tblPr>
      <w:tblGrid>
        <w:gridCol w:w="2922"/>
        <w:gridCol w:w="3253"/>
        <w:gridCol w:w="3392"/>
      </w:tblGrid>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项目</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本期发生额</w:t>
            </w: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center"/>
            </w:pPr>
            <w:r>
              <w:rPr>
                <w:rFonts w:hint="eastAsia"/>
              </w:rPr>
              <w:t>上期发生额</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一、经营活动产生的现金流量：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销售商品、提供劳务收到的现金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379,631,850.67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323,891,876.20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收到的税费返还</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8,090,576.59</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11,285,314.80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收到其他与经营活动有关的现金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16,223,753.70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7,231,864.41</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经营活动现金流入小计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403,946,180.96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342,409,055.41</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购买商品、接受劳务支付的现金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148,461,430.49</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180,926,413.06</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支付给职工以及为职工支付的现金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114,942,906.33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77,344,889.21</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支付的各项税费</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20,469,235.15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9,856,993.71</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支付其他与经营活动有关的现金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42,680,680.92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25,575,365.24</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经营活动现金流出小计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326,554,252.89</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293,703,661.22</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经营活动产生的现金流量净额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77,391,928.07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48,705,394.19</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二、投资活动产生的现金流量：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收回投资收到的现金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取得投资收益收到的现金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2,691,554.92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处置固定资产、无形资产和其他长期资产收回的现金净额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8,199,994.00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288,880.00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处置子公司及其他营业单位收到的现金净额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收到其他与投资活动有关的现金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投资活动现金流入小计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10,891,548.92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288,880.00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购建固定资产、无形资产和其他长期资产支付的现金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134,507,605.41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41,986,104.94</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投资支付的现金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取得子公司及其他营业单位支付的现金净额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支付其他与投资活动有关的现金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投资活动现金流出小计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144,507,605.41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41,986,104.94</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投资活动产生的现金流量净额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-133,616,056.49</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-41,697,224.94</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三、筹资活动产生的现金流量：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吸收投资收到的现金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取得借款收到的现金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100,000,000.00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发行债券收到的现金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收到其他与筹资活动有关的现金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筹资活动现金流入小计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100,000,000.00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偿还债务支付的现金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45,000,000.00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1,000,000.00</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分配股利、利润或偿付利息支付的现金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7,432,833.25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4,535,218.93</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支付其他与筹资活动有关的现金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17,261,367.57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9,078,127.35</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筹资活动现金流出小计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69,694,200.82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14,613,346.28</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筹资活动产生的现金流量净额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30,305,799.18</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-14,613,346.28</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四、汇率变动对现金及现金等价物的影响</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-353,070.39</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-511,684.58</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五、现金及现金等价物净增加额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-26,271,399.63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-8,116,861.61</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 xml:space="preserve">　　加：期初现金及现金等价物余额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358,666,787.39</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191,940,435.73</w:t>
            </w:r>
          </w:p>
        </w:tc>
      </w:tr>
      <w:tr w:rsidR="00831310" w:rsidTr="00831310">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831310" w:rsidRDefault="00831310" w:rsidP="00831310">
            <w:pPr>
              <w:jc w:val="left"/>
            </w:pPr>
            <w:r>
              <w:rPr>
                <w:rFonts w:hint="eastAsia"/>
              </w:rPr>
              <w:t>六、期末现金及现金等价物余额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332,395,387.76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831310" w:rsidRDefault="00831310" w:rsidP="00831310">
            <w:pPr>
              <w:jc w:val="right"/>
            </w:pPr>
            <w:r>
              <w:t>183,823,574.12</w:t>
            </w:r>
          </w:p>
        </w:tc>
      </w:tr>
    </w:tbl>
    <w:p w:rsidR="00831310" w:rsidRDefault="00831310" w:rsidP="00831310">
      <w:pPr>
        <w:pStyle w:val="Chapter"/>
        <w:outlineLvl w:val="1"/>
      </w:pPr>
      <w:r>
        <w:rPr>
          <w:rFonts w:hint="eastAsia"/>
        </w:rPr>
        <w:t>二、审计报告</w:t>
      </w:r>
    </w:p>
    <w:p w:rsidR="00831310" w:rsidRDefault="00831310" w:rsidP="00831310">
      <w:pPr>
        <w:jc w:val="left"/>
      </w:pPr>
      <w:r>
        <w:rPr>
          <w:rFonts w:hint="eastAsia"/>
        </w:rPr>
        <w:t>第一季度报告是否经过审计</w:t>
      </w:r>
    </w:p>
    <w:p w:rsidR="00831310" w:rsidRDefault="00831310" w:rsidP="00831310">
      <w:pPr>
        <w:jc w:val="left"/>
      </w:pPr>
      <w:r>
        <w:rPr>
          <w:rFonts w:hint="eastAsia"/>
        </w:rPr>
        <w:t>□</w:t>
      </w:r>
      <w:r>
        <w:t xml:space="preserve"> </w:t>
      </w:r>
      <w:r>
        <w:rPr>
          <w:rFonts w:hint="eastAsia"/>
        </w:rPr>
        <w:t>是</w:t>
      </w:r>
      <w:r>
        <w:t xml:space="preserve"> </w:t>
      </w:r>
      <w:r>
        <w:rPr>
          <w:rFonts w:hint="eastAsia"/>
        </w:rPr>
        <w:t>√</w:t>
      </w:r>
      <w:r>
        <w:t xml:space="preserve"> </w:t>
      </w:r>
      <w:r>
        <w:rPr>
          <w:rFonts w:hint="eastAsia"/>
        </w:rPr>
        <w:t>否</w:t>
      </w:r>
      <w:r>
        <w:t xml:space="preserve"> </w:t>
      </w:r>
    </w:p>
    <w:p w:rsidR="00831310" w:rsidRDefault="00831310" w:rsidP="00831310">
      <w:pPr>
        <w:jc w:val="left"/>
      </w:pPr>
      <w:r>
        <w:rPr>
          <w:rFonts w:hint="eastAsia"/>
        </w:rPr>
        <w:t>公司第一季度报告未经审计。</w:t>
      </w:r>
    </w:p>
    <w:p w:rsidR="0049616C" w:rsidRPr="00831310" w:rsidRDefault="0049616C" w:rsidP="0049616C"/>
    <w:sectPr w:rsidR="0049616C" w:rsidRPr="00831310" w:rsidSect="00831310">
      <w:pgSz w:w="11906" w:h="16838"/>
      <w:pgMar w:top="1440" w:right="1134" w:bottom="1440" w:left="1134" w:header="720" w:footer="720" w:gutter="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2A0" w:rsidRDefault="003C12A0">
      <w:r>
        <w:separator/>
      </w:r>
    </w:p>
  </w:endnote>
  <w:endnote w:type="continuationSeparator" w:id="0">
    <w:p w:rsidR="003C12A0" w:rsidRDefault="003C1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2A0" w:rsidRDefault="003C12A0">
      <w:r>
        <w:separator/>
      </w:r>
    </w:p>
  </w:footnote>
  <w:footnote w:type="continuationSeparator" w:id="0">
    <w:p w:rsidR="003C12A0" w:rsidRDefault="003C1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79D9A"/>
    <w:multiLevelType w:val="singleLevel"/>
    <w:tmpl w:val="58C79D9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CBF"/>
    <w:rsid w:val="0001749F"/>
    <w:rsid w:val="000550CF"/>
    <w:rsid w:val="000607A0"/>
    <w:rsid w:val="00073213"/>
    <w:rsid w:val="0008412A"/>
    <w:rsid w:val="00090039"/>
    <w:rsid w:val="000A6C7D"/>
    <w:rsid w:val="000B06E5"/>
    <w:rsid w:val="000C10EA"/>
    <w:rsid w:val="000C4A87"/>
    <w:rsid w:val="000C508D"/>
    <w:rsid w:val="000D15D9"/>
    <w:rsid w:val="00101B6F"/>
    <w:rsid w:val="001055E8"/>
    <w:rsid w:val="00111501"/>
    <w:rsid w:val="001210E1"/>
    <w:rsid w:val="001237B5"/>
    <w:rsid w:val="0012688D"/>
    <w:rsid w:val="00142073"/>
    <w:rsid w:val="001446C3"/>
    <w:rsid w:val="00167255"/>
    <w:rsid w:val="001A0658"/>
    <w:rsid w:val="001B0761"/>
    <w:rsid w:val="001B2071"/>
    <w:rsid w:val="001B3050"/>
    <w:rsid w:val="001C12FA"/>
    <w:rsid w:val="001D1988"/>
    <w:rsid w:val="001D78A9"/>
    <w:rsid w:val="001E08F6"/>
    <w:rsid w:val="001E2EB6"/>
    <w:rsid w:val="001F2E6C"/>
    <w:rsid w:val="001F2F5A"/>
    <w:rsid w:val="00203DD2"/>
    <w:rsid w:val="002077C7"/>
    <w:rsid w:val="00222CFC"/>
    <w:rsid w:val="00223BE4"/>
    <w:rsid w:val="00236E59"/>
    <w:rsid w:val="002453F2"/>
    <w:rsid w:val="00271AF3"/>
    <w:rsid w:val="00282B4B"/>
    <w:rsid w:val="002A3077"/>
    <w:rsid w:val="002B64E5"/>
    <w:rsid w:val="002D3A29"/>
    <w:rsid w:val="002F100D"/>
    <w:rsid w:val="00304CBF"/>
    <w:rsid w:val="00327A94"/>
    <w:rsid w:val="00333059"/>
    <w:rsid w:val="0035518F"/>
    <w:rsid w:val="003748D8"/>
    <w:rsid w:val="0037523B"/>
    <w:rsid w:val="00396C8E"/>
    <w:rsid w:val="003A232A"/>
    <w:rsid w:val="003B0247"/>
    <w:rsid w:val="003B34BC"/>
    <w:rsid w:val="003C12A0"/>
    <w:rsid w:val="003C5E43"/>
    <w:rsid w:val="0042795D"/>
    <w:rsid w:val="00427C40"/>
    <w:rsid w:val="00456336"/>
    <w:rsid w:val="0049616C"/>
    <w:rsid w:val="004A21A6"/>
    <w:rsid w:val="004A7A50"/>
    <w:rsid w:val="004B67FA"/>
    <w:rsid w:val="004C3F94"/>
    <w:rsid w:val="004D531A"/>
    <w:rsid w:val="004F0BA3"/>
    <w:rsid w:val="0051320F"/>
    <w:rsid w:val="005162AF"/>
    <w:rsid w:val="00525F2F"/>
    <w:rsid w:val="00531110"/>
    <w:rsid w:val="00536D20"/>
    <w:rsid w:val="005378F2"/>
    <w:rsid w:val="005473AF"/>
    <w:rsid w:val="005476C0"/>
    <w:rsid w:val="00565A50"/>
    <w:rsid w:val="0057405A"/>
    <w:rsid w:val="00575E46"/>
    <w:rsid w:val="005A7ACA"/>
    <w:rsid w:val="005D1D96"/>
    <w:rsid w:val="005E08EA"/>
    <w:rsid w:val="006104A5"/>
    <w:rsid w:val="00614F09"/>
    <w:rsid w:val="006174CD"/>
    <w:rsid w:val="006654A4"/>
    <w:rsid w:val="00676AFC"/>
    <w:rsid w:val="00682D5C"/>
    <w:rsid w:val="006835BB"/>
    <w:rsid w:val="006C1777"/>
    <w:rsid w:val="006C1A06"/>
    <w:rsid w:val="006C5363"/>
    <w:rsid w:val="006D511B"/>
    <w:rsid w:val="007108A7"/>
    <w:rsid w:val="00710E6C"/>
    <w:rsid w:val="00711E51"/>
    <w:rsid w:val="00712D7B"/>
    <w:rsid w:val="007163AC"/>
    <w:rsid w:val="007213B8"/>
    <w:rsid w:val="00721A90"/>
    <w:rsid w:val="00737E5F"/>
    <w:rsid w:val="00753BFB"/>
    <w:rsid w:val="00755BD4"/>
    <w:rsid w:val="0076311C"/>
    <w:rsid w:val="00771B20"/>
    <w:rsid w:val="00776E1C"/>
    <w:rsid w:val="00777841"/>
    <w:rsid w:val="00784777"/>
    <w:rsid w:val="00786A2B"/>
    <w:rsid w:val="007917DF"/>
    <w:rsid w:val="00791971"/>
    <w:rsid w:val="007A671D"/>
    <w:rsid w:val="007A6881"/>
    <w:rsid w:val="007B32D5"/>
    <w:rsid w:val="007D001F"/>
    <w:rsid w:val="007E25F7"/>
    <w:rsid w:val="00823775"/>
    <w:rsid w:val="00831310"/>
    <w:rsid w:val="008357CD"/>
    <w:rsid w:val="00850BEF"/>
    <w:rsid w:val="00890F93"/>
    <w:rsid w:val="00895D85"/>
    <w:rsid w:val="008B1D13"/>
    <w:rsid w:val="008B447A"/>
    <w:rsid w:val="008F7472"/>
    <w:rsid w:val="00957A0E"/>
    <w:rsid w:val="00961D6C"/>
    <w:rsid w:val="009839AF"/>
    <w:rsid w:val="00991935"/>
    <w:rsid w:val="009A252B"/>
    <w:rsid w:val="009A3726"/>
    <w:rsid w:val="009B5525"/>
    <w:rsid w:val="009C0157"/>
    <w:rsid w:val="009C14A2"/>
    <w:rsid w:val="009D3EAA"/>
    <w:rsid w:val="009E34D3"/>
    <w:rsid w:val="009F6C80"/>
    <w:rsid w:val="009F6C97"/>
    <w:rsid w:val="00A06CF0"/>
    <w:rsid w:val="00A271DB"/>
    <w:rsid w:val="00A439F6"/>
    <w:rsid w:val="00A46C48"/>
    <w:rsid w:val="00A5370C"/>
    <w:rsid w:val="00A56170"/>
    <w:rsid w:val="00A562E6"/>
    <w:rsid w:val="00A56694"/>
    <w:rsid w:val="00A66AB0"/>
    <w:rsid w:val="00A709E0"/>
    <w:rsid w:val="00A806BC"/>
    <w:rsid w:val="00A93541"/>
    <w:rsid w:val="00AA7D0F"/>
    <w:rsid w:val="00AB60E7"/>
    <w:rsid w:val="00AC0AEB"/>
    <w:rsid w:val="00AC3030"/>
    <w:rsid w:val="00AC5AD3"/>
    <w:rsid w:val="00AD4787"/>
    <w:rsid w:val="00AF346F"/>
    <w:rsid w:val="00AF61D7"/>
    <w:rsid w:val="00B10E93"/>
    <w:rsid w:val="00B146CC"/>
    <w:rsid w:val="00B41786"/>
    <w:rsid w:val="00B41995"/>
    <w:rsid w:val="00B45245"/>
    <w:rsid w:val="00B459A4"/>
    <w:rsid w:val="00B467BB"/>
    <w:rsid w:val="00B66E55"/>
    <w:rsid w:val="00BA1D54"/>
    <w:rsid w:val="00BA630D"/>
    <w:rsid w:val="00BA6BC2"/>
    <w:rsid w:val="00BB649D"/>
    <w:rsid w:val="00BB7883"/>
    <w:rsid w:val="00BC5CEE"/>
    <w:rsid w:val="00BC6D22"/>
    <w:rsid w:val="00BD5808"/>
    <w:rsid w:val="00BD60E1"/>
    <w:rsid w:val="00BE207E"/>
    <w:rsid w:val="00BE5ADA"/>
    <w:rsid w:val="00BF23B0"/>
    <w:rsid w:val="00C1544D"/>
    <w:rsid w:val="00C23CA8"/>
    <w:rsid w:val="00C44B44"/>
    <w:rsid w:val="00C65C26"/>
    <w:rsid w:val="00C761D2"/>
    <w:rsid w:val="00C7777A"/>
    <w:rsid w:val="00C84B05"/>
    <w:rsid w:val="00C900C6"/>
    <w:rsid w:val="00C905CF"/>
    <w:rsid w:val="00C96A31"/>
    <w:rsid w:val="00CB4964"/>
    <w:rsid w:val="00CC06D5"/>
    <w:rsid w:val="00CC078D"/>
    <w:rsid w:val="00CC2FCF"/>
    <w:rsid w:val="00CD11F9"/>
    <w:rsid w:val="00D02A1C"/>
    <w:rsid w:val="00D10287"/>
    <w:rsid w:val="00D1156E"/>
    <w:rsid w:val="00D13A68"/>
    <w:rsid w:val="00D17D18"/>
    <w:rsid w:val="00D278FA"/>
    <w:rsid w:val="00D35D13"/>
    <w:rsid w:val="00D40F8C"/>
    <w:rsid w:val="00D52E08"/>
    <w:rsid w:val="00D53690"/>
    <w:rsid w:val="00D56319"/>
    <w:rsid w:val="00D7072F"/>
    <w:rsid w:val="00D8244D"/>
    <w:rsid w:val="00D84EAF"/>
    <w:rsid w:val="00D85B52"/>
    <w:rsid w:val="00D878F6"/>
    <w:rsid w:val="00DD6B34"/>
    <w:rsid w:val="00DF5BAB"/>
    <w:rsid w:val="00E06B5C"/>
    <w:rsid w:val="00E12508"/>
    <w:rsid w:val="00E24FBF"/>
    <w:rsid w:val="00E26C5B"/>
    <w:rsid w:val="00E33D3A"/>
    <w:rsid w:val="00E33FE1"/>
    <w:rsid w:val="00E34900"/>
    <w:rsid w:val="00E40FA9"/>
    <w:rsid w:val="00E41A81"/>
    <w:rsid w:val="00E61B4F"/>
    <w:rsid w:val="00E66F83"/>
    <w:rsid w:val="00E91AE2"/>
    <w:rsid w:val="00E94C55"/>
    <w:rsid w:val="00EC26E3"/>
    <w:rsid w:val="00EC4F6E"/>
    <w:rsid w:val="00EE2A25"/>
    <w:rsid w:val="00F006B9"/>
    <w:rsid w:val="00F06005"/>
    <w:rsid w:val="00F102FC"/>
    <w:rsid w:val="00F2325B"/>
    <w:rsid w:val="00F60775"/>
    <w:rsid w:val="00F71538"/>
    <w:rsid w:val="00F778F2"/>
    <w:rsid w:val="00F910DD"/>
    <w:rsid w:val="00FA3D02"/>
    <w:rsid w:val="00FB0CF5"/>
    <w:rsid w:val="00FB2B04"/>
    <w:rsid w:val="00FC1DC5"/>
    <w:rsid w:val="00FC3F43"/>
    <w:rsid w:val="00FC5162"/>
    <w:rsid w:val="00FF74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FA3D02"/>
    <w:pPr>
      <w:widowControl/>
      <w:spacing w:after="160" w:line="240" w:lineRule="exact"/>
      <w:jc w:val="left"/>
    </w:pPr>
    <w:rPr>
      <w:noProof/>
      <w:kern w:val="0"/>
      <w:sz w:val="20"/>
      <w:szCs w:val="20"/>
    </w:rPr>
  </w:style>
  <w:style w:type="paragraph" w:styleId="a3">
    <w:name w:val="Normal (Web)"/>
    <w:basedOn w:val="a"/>
    <w:rsid w:val="00304CBF"/>
    <w:pPr>
      <w:widowControl/>
      <w:spacing w:before="100" w:beforeAutospacing="1" w:after="100" w:afterAutospacing="1"/>
      <w:jc w:val="left"/>
    </w:pPr>
    <w:rPr>
      <w:rFonts w:ascii="宋体" w:hAnsi="宋体" w:cs="宋体"/>
      <w:kern w:val="0"/>
      <w:sz w:val="24"/>
    </w:rPr>
  </w:style>
  <w:style w:type="table" w:styleId="a4">
    <w:name w:val="Table Grid"/>
    <w:basedOn w:val="a1"/>
    <w:rsid w:val="00304C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4EAF"/>
    <w:pPr>
      <w:widowControl w:val="0"/>
      <w:autoSpaceDE w:val="0"/>
      <w:autoSpaceDN w:val="0"/>
      <w:adjustRightInd w:val="0"/>
    </w:pPr>
    <w:rPr>
      <w:rFonts w:ascii="华文中宋" w:eastAsia="华文中宋" w:cs="华文中宋"/>
      <w:color w:val="000000"/>
      <w:sz w:val="24"/>
      <w:szCs w:val="24"/>
    </w:rPr>
  </w:style>
  <w:style w:type="paragraph" w:customStyle="1" w:styleId="CM3">
    <w:name w:val="CM3"/>
    <w:basedOn w:val="Default"/>
    <w:next w:val="Default"/>
    <w:rsid w:val="00D84EAF"/>
    <w:pPr>
      <w:spacing w:line="468" w:lineRule="atLeast"/>
    </w:pPr>
    <w:rPr>
      <w:color w:val="auto"/>
    </w:rPr>
  </w:style>
  <w:style w:type="paragraph" w:styleId="a5">
    <w:name w:val="Balloon Text"/>
    <w:basedOn w:val="a"/>
    <w:semiHidden/>
    <w:rsid w:val="009B5525"/>
    <w:rPr>
      <w:sz w:val="18"/>
      <w:szCs w:val="18"/>
    </w:rPr>
  </w:style>
  <w:style w:type="paragraph" w:styleId="a6">
    <w:name w:val="footer"/>
    <w:basedOn w:val="a"/>
    <w:link w:val="Char"/>
    <w:uiPriority w:val="99"/>
    <w:rsid w:val="007108A7"/>
    <w:pPr>
      <w:tabs>
        <w:tab w:val="center" w:pos="4153"/>
        <w:tab w:val="right" w:pos="8306"/>
      </w:tabs>
      <w:snapToGrid w:val="0"/>
      <w:jc w:val="left"/>
    </w:pPr>
    <w:rPr>
      <w:sz w:val="18"/>
      <w:szCs w:val="18"/>
    </w:rPr>
  </w:style>
  <w:style w:type="character" w:customStyle="1" w:styleId="Char">
    <w:name w:val="页脚 Char"/>
    <w:link w:val="a6"/>
    <w:uiPriority w:val="99"/>
    <w:locked/>
    <w:rsid w:val="001055E8"/>
    <w:rPr>
      <w:rFonts w:eastAsia="宋体"/>
      <w:kern w:val="2"/>
      <w:sz w:val="18"/>
      <w:szCs w:val="18"/>
      <w:lang w:val="en-US" w:eastAsia="zh-CN" w:bidi="ar-SA"/>
    </w:rPr>
  </w:style>
  <w:style w:type="character" w:styleId="a7">
    <w:name w:val="page number"/>
    <w:basedOn w:val="a0"/>
    <w:rsid w:val="007108A7"/>
  </w:style>
  <w:style w:type="character" w:styleId="a8">
    <w:name w:val="Hyperlink"/>
    <w:rsid w:val="00FA3D02"/>
    <w:rPr>
      <w:color w:val="0000FF"/>
      <w:u w:val="single"/>
    </w:rPr>
  </w:style>
  <w:style w:type="character" w:customStyle="1" w:styleId="apple-style-span">
    <w:name w:val="apple-style-span"/>
    <w:basedOn w:val="a0"/>
    <w:rsid w:val="000550CF"/>
  </w:style>
  <w:style w:type="paragraph" w:styleId="a9">
    <w:name w:val="Title"/>
    <w:basedOn w:val="a"/>
    <w:next w:val="a"/>
    <w:link w:val="Char0"/>
    <w:uiPriority w:val="10"/>
    <w:qFormat/>
    <w:rsid w:val="00DF5BAB"/>
    <w:pPr>
      <w:keepNext/>
      <w:keepLines/>
      <w:spacing w:before="340" w:after="330" w:line="578" w:lineRule="auto"/>
      <w:jc w:val="center"/>
    </w:pPr>
    <w:rPr>
      <w:b/>
      <w:bCs/>
      <w:kern w:val="32"/>
      <w:sz w:val="32"/>
      <w:szCs w:val="32"/>
    </w:rPr>
  </w:style>
  <w:style w:type="character" w:customStyle="1" w:styleId="Char0">
    <w:name w:val="标题 Char"/>
    <w:link w:val="a9"/>
    <w:uiPriority w:val="10"/>
    <w:locked/>
    <w:rsid w:val="001055E8"/>
    <w:rPr>
      <w:rFonts w:eastAsia="宋体"/>
      <w:b/>
      <w:bCs/>
      <w:kern w:val="32"/>
      <w:sz w:val="32"/>
      <w:szCs w:val="32"/>
      <w:lang w:val="en-US" w:eastAsia="zh-CN" w:bidi="ar-SA"/>
    </w:rPr>
  </w:style>
  <w:style w:type="paragraph" w:customStyle="1" w:styleId="Chapter">
    <w:name w:val="Chapter"/>
    <w:next w:val="a"/>
    <w:uiPriority w:val="99"/>
    <w:rsid w:val="00DF5BAB"/>
    <w:pPr>
      <w:keepNext/>
      <w:keepLines/>
      <w:widowControl w:val="0"/>
      <w:spacing w:before="300" w:after="300" w:line="241" w:lineRule="auto"/>
      <w:jc w:val="both"/>
    </w:pPr>
    <w:rPr>
      <w:b/>
      <w:bCs/>
      <w:kern w:val="28"/>
      <w:sz w:val="24"/>
      <w:szCs w:val="24"/>
    </w:rPr>
  </w:style>
  <w:style w:type="paragraph" w:customStyle="1" w:styleId="Section">
    <w:name w:val="Section"/>
    <w:next w:val="a"/>
    <w:uiPriority w:val="99"/>
    <w:rsid w:val="00DF5BAB"/>
    <w:pPr>
      <w:keepNext/>
      <w:keepLines/>
      <w:widowControl w:val="0"/>
      <w:spacing w:before="300" w:after="300" w:line="241" w:lineRule="auto"/>
      <w:jc w:val="both"/>
    </w:pPr>
    <w:rPr>
      <w:b/>
      <w:bCs/>
      <w:kern w:val="28"/>
      <w:sz w:val="21"/>
      <w:szCs w:val="21"/>
    </w:rPr>
  </w:style>
  <w:style w:type="paragraph" w:styleId="aa">
    <w:name w:val="header"/>
    <w:basedOn w:val="a"/>
    <w:link w:val="Char1"/>
    <w:uiPriority w:val="99"/>
    <w:rsid w:val="00F910D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uiPriority w:val="99"/>
    <w:locked/>
    <w:rsid w:val="001055E8"/>
    <w:rPr>
      <w:rFonts w:eastAsia="宋体"/>
      <w:kern w:val="2"/>
      <w:sz w:val="18"/>
      <w:szCs w:val="18"/>
      <w:lang w:val="en-US" w:eastAsia="zh-CN" w:bidi="ar-SA"/>
    </w:rPr>
  </w:style>
  <w:style w:type="paragraph" w:customStyle="1" w:styleId="1">
    <w:name w:val="页脚1"/>
    <w:basedOn w:val="a"/>
    <w:uiPriority w:val="99"/>
    <w:rsid w:val="00F910DD"/>
    <w:pPr>
      <w:tabs>
        <w:tab w:val="center" w:pos="4153"/>
        <w:tab w:val="right" w:pos="8306"/>
      </w:tabs>
      <w:snapToGrid w:val="0"/>
      <w:jc w:val="right"/>
    </w:pPr>
    <w:rPr>
      <w:sz w:val="18"/>
      <w:szCs w:val="18"/>
    </w:rPr>
  </w:style>
</w:styles>
</file>

<file path=word/webSettings.xml><?xml version="1.0" encoding="utf-8"?>
<w:webSettings xmlns:r="http://schemas.openxmlformats.org/officeDocument/2006/relationships" xmlns:w="http://schemas.openxmlformats.org/wordprocessingml/2006/main">
  <w:divs>
    <w:div w:id="928588584">
      <w:bodyDiv w:val="1"/>
      <w:marLeft w:val="0"/>
      <w:marRight w:val="0"/>
      <w:marTop w:val="0"/>
      <w:marBottom w:val="0"/>
      <w:divBdr>
        <w:top w:val="none" w:sz="0" w:space="0" w:color="auto"/>
        <w:left w:val="none" w:sz="0" w:space="0" w:color="auto"/>
        <w:bottom w:val="none" w:sz="0" w:space="0" w:color="auto"/>
        <w:right w:val="none" w:sz="0" w:space="0" w:color="auto"/>
      </w:divBdr>
    </w:div>
    <w:div w:id="10770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2761</Words>
  <Characters>15739</Characters>
  <Application>Microsoft Office Word</Application>
  <DocSecurity>0</DocSecurity>
  <Lines>131</Lines>
  <Paragraphs>36</Paragraphs>
  <ScaleCrop>false</ScaleCrop>
  <Company>x6x8.com</Company>
  <LinksUpToDate>false</LinksUpToDate>
  <CharactersWithSpaces>18464</CharactersWithSpaces>
  <SharedDoc>false</SharedDoc>
  <HLinks>
    <vt:vector size="6" baseType="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证券代码：000756</dc:title>
  <dc:creator>vvvvvv</dc:creator>
  <cp:lastModifiedBy>王修国</cp:lastModifiedBy>
  <cp:revision>12</cp:revision>
  <cp:lastPrinted>2017-04-18T07:49:00Z</cp:lastPrinted>
  <dcterms:created xsi:type="dcterms:W3CDTF">2017-04-12T01:58:00Z</dcterms:created>
  <dcterms:modified xsi:type="dcterms:W3CDTF">2017-04-18T07:49:00Z</dcterms:modified>
</cp:coreProperties>
</file>