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rPr>
          <w:kern w:val="0"/>
          <w:sz w:val="28"/>
          <w:lang w:eastAsia="zh-TW"/>
        </w:rPr>
      </w:pPr>
      <w:r>
        <w:rPr>
          <w:rFonts w:hint="eastAsia"/>
          <w:i/>
          <w:sz w:val="20"/>
          <w:lang w:eastAsia="zh-TW"/>
        </w:rPr>
        <w:t>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w:t>
      </w:r>
    </w:p>
    <w:p>
      <w:pPr>
        <w:pStyle w:val="24"/>
        <w:rPr>
          <w:rFonts w:ascii="Times New Roman" w:hAnsi="Times New Roman"/>
          <w:b/>
          <w:sz w:val="24"/>
          <w:lang w:eastAsia="zh-TW"/>
        </w:rPr>
      </w:pPr>
    </w:p>
    <w:p>
      <w:pPr>
        <w:pStyle w:val="24"/>
        <w:jc w:val="center"/>
        <w:rPr>
          <w:rFonts w:ascii="Times New Roman" w:hAnsi="Times New Roman"/>
          <w:b/>
          <w:sz w:val="24"/>
          <w:lang w:eastAsia="zh-TW"/>
        </w:rPr>
      </w:pPr>
    </w:p>
    <w:p>
      <w:pPr>
        <w:pStyle w:val="24"/>
        <w:jc w:val="center"/>
        <w:rPr>
          <w:rFonts w:ascii="Times New Roman" w:hAnsi="Times New Roman"/>
          <w:b/>
          <w:sz w:val="24"/>
          <w:lang w:eastAsia="zh-TW"/>
        </w:rPr>
      </w:pPr>
      <w:r>
        <w:rPr>
          <w:rFonts w:ascii="Times New Roman" w:hAnsi="Times New Roman" w:eastAsia="宋体" w:cs="Times New Roman"/>
          <w:b/>
          <w:kern w:val="0"/>
          <w:sz w:val="24"/>
          <w:lang w:val="en-US" w:eastAsia="zh-TW" w:bidi="ar-SA"/>
        </w:rPr>
        <w:pict>
          <v:shape id="图片 12" o:spid="_x0000_s1026" alt="!SHANDON" type="#_x0000_t75" style="position:absolute;left:0;margin-left:204.75pt;margin-top:-14.25pt;height:45.45pt;width:42pt;rotation:0f;z-index:251658240;" o:ole="f" fillcolor="#FFFFFF" filled="f" o:preferrelative="t" stroked="f" coordorigin="0,0" coordsize="21600,21600">
            <v:fill on="f" color2="#FFFFFF" focus="0%"/>
            <v:imagedata gain="65536f" blacklevel="0f" gamma="0" chromakey="#FFFFFF" o:title="!SHANDON" r:id="rId7"/>
            <o:lock v:ext="edit" position="f" selection="f" grouping="f" rotation="f" cropping="f" text="f" aspectratio="t"/>
          </v:shape>
        </w:pict>
      </w:r>
    </w:p>
    <w:p>
      <w:pPr>
        <w:pStyle w:val="24"/>
        <w:jc w:val="center"/>
        <w:rPr>
          <w:rFonts w:ascii="Times New Roman" w:hAnsi="Times New Roman"/>
          <w:b/>
          <w:sz w:val="24"/>
          <w:lang w:eastAsia="zh-TW"/>
        </w:rPr>
      </w:pPr>
    </w:p>
    <w:p>
      <w:pPr>
        <w:pStyle w:val="24"/>
        <w:spacing w:beforeLines="20" w:afterLines="20"/>
        <w:jc w:val="center"/>
        <w:rPr>
          <w:rFonts w:ascii="Times New Roman" w:hAnsi="Times New Roman"/>
          <w:b/>
          <w:sz w:val="28"/>
          <w:lang w:eastAsia="zh-TW"/>
        </w:rPr>
      </w:pPr>
      <w:r>
        <w:rPr>
          <w:rFonts w:hint="eastAsia" w:ascii="Times New Roman" w:hAnsi="Times New Roman"/>
          <w:b/>
          <w:sz w:val="28"/>
          <w:lang w:eastAsia="zh-TW"/>
        </w:rPr>
        <w:t>山東新華製藥股份有限公司</w:t>
      </w:r>
    </w:p>
    <w:p>
      <w:pPr>
        <w:pStyle w:val="24"/>
        <w:spacing w:beforeLines="20" w:afterLines="20"/>
        <w:jc w:val="center"/>
        <w:rPr>
          <w:rFonts w:ascii="Times New Roman" w:hAnsi="Times New Roman"/>
          <w:b/>
          <w:sz w:val="28"/>
          <w:lang w:eastAsia="zh-TW"/>
        </w:rPr>
      </w:pPr>
    </w:p>
    <w:p>
      <w:pPr>
        <w:pStyle w:val="24"/>
        <w:spacing w:beforeLines="20" w:afterLines="20"/>
        <w:jc w:val="center"/>
        <w:rPr>
          <w:rFonts w:ascii="Times New Roman" w:hAnsi="Times New Roman"/>
          <w:b/>
          <w:sz w:val="28"/>
        </w:rPr>
      </w:pPr>
      <w:r>
        <w:rPr>
          <w:rFonts w:ascii="Times New Roman" w:hAnsi="Times New Roman"/>
          <w:b/>
          <w:sz w:val="28"/>
        </w:rPr>
        <w:t>Shandong Xinhua Pharmaceutical Company Limited</w:t>
      </w:r>
    </w:p>
    <w:p>
      <w:pPr>
        <w:pStyle w:val="24"/>
        <w:spacing w:beforeLines="20" w:afterLines="20"/>
        <w:jc w:val="center"/>
        <w:rPr>
          <w:rFonts w:ascii="Times New Roman" w:hAnsi="Times New Roman"/>
          <w:sz w:val="24"/>
          <w:lang w:eastAsia="zh-TW"/>
        </w:rPr>
      </w:pPr>
      <w:r>
        <w:rPr>
          <w:rFonts w:hint="eastAsia" w:ascii="Times New Roman" w:hAnsi="Times New Roman"/>
          <w:sz w:val="24"/>
          <w:lang w:eastAsia="zh-TW"/>
        </w:rPr>
        <w:t>（於中華人民共和國註冊成立之股份有限公司）</w:t>
      </w:r>
    </w:p>
    <w:p>
      <w:pPr>
        <w:pStyle w:val="24"/>
        <w:spacing w:beforeLines="20" w:afterLines="20"/>
        <w:jc w:val="center"/>
        <w:rPr>
          <w:rFonts w:ascii="Times New Roman" w:hAnsi="Times New Roman"/>
          <w:sz w:val="24"/>
          <w:lang w:eastAsia="zh-TW"/>
        </w:rPr>
      </w:pPr>
      <w:r>
        <w:rPr>
          <w:rFonts w:hint="eastAsia" w:ascii="Times New Roman" w:hAnsi="Times New Roman"/>
          <w:sz w:val="24"/>
          <w:lang w:eastAsia="zh-TW"/>
        </w:rPr>
        <w:t>（股份編號：</w:t>
      </w:r>
      <w:r>
        <w:rPr>
          <w:rFonts w:ascii="Times New Roman" w:hAnsi="Times New Roman"/>
          <w:sz w:val="24"/>
          <w:lang w:eastAsia="zh-TW"/>
        </w:rPr>
        <w:t>0719</w:t>
      </w:r>
      <w:r>
        <w:rPr>
          <w:rFonts w:hint="eastAsia" w:ascii="Times New Roman" w:hAnsi="Times New Roman"/>
          <w:sz w:val="24"/>
          <w:lang w:eastAsia="zh-TW"/>
        </w:rPr>
        <w:t>）</w:t>
      </w:r>
    </w:p>
    <w:p>
      <w:pPr>
        <w:pStyle w:val="24"/>
        <w:spacing w:beforeLines="20" w:afterLines="20"/>
        <w:jc w:val="center"/>
        <w:rPr>
          <w:rFonts w:ascii="Times New Roman" w:hAnsi="Times New Roman"/>
          <w:sz w:val="24"/>
          <w:lang w:eastAsia="zh-TW"/>
        </w:rPr>
      </w:pPr>
    </w:p>
    <w:p>
      <w:pPr>
        <w:pStyle w:val="24"/>
        <w:spacing w:beforeLines="20" w:afterLines="20"/>
        <w:jc w:val="center"/>
        <w:rPr>
          <w:rFonts w:ascii="Times New Roman" w:hAnsi="Times New Roman"/>
          <w:b/>
          <w:sz w:val="28"/>
          <w:lang w:eastAsia="zh-TW"/>
        </w:rPr>
      </w:pPr>
      <w:r>
        <w:rPr>
          <w:rFonts w:ascii="Times New Roman" w:hAnsi="Times New Roman"/>
          <w:b/>
          <w:sz w:val="28"/>
          <w:lang w:eastAsia="zh-TW"/>
        </w:rPr>
        <w:t>2017</w:t>
      </w:r>
      <w:r>
        <w:rPr>
          <w:rFonts w:hint="eastAsia" w:ascii="Times New Roman" w:hAnsi="Times New Roman"/>
          <w:b/>
          <w:sz w:val="28"/>
          <w:lang w:eastAsia="zh-TW"/>
        </w:rPr>
        <w:t>年年度業績公告</w:t>
      </w:r>
    </w:p>
    <w:p>
      <w:pPr>
        <w:pStyle w:val="24"/>
        <w:rPr>
          <w:rFonts w:ascii="Times New Roman" w:hAnsi="Times New Roman"/>
          <w:sz w:val="24"/>
          <w:lang w:eastAsia="zh-TW"/>
        </w:rPr>
      </w:pPr>
    </w:p>
    <w:p>
      <w:pPr>
        <w:pStyle w:val="24"/>
        <w:spacing w:line="320" w:lineRule="exact"/>
        <w:rPr>
          <w:rFonts w:ascii="Times New Roman" w:hAnsi="Times New Roman"/>
          <w:sz w:val="22"/>
          <w:lang w:eastAsia="zh-TW"/>
        </w:rPr>
      </w:pPr>
      <w:r>
        <w:rPr>
          <w:rFonts w:hint="eastAsia" w:ascii="Times New Roman" w:hAnsi="Times New Roman"/>
          <w:sz w:val="22"/>
          <w:lang w:eastAsia="zh-TW"/>
        </w:rPr>
        <w:t>山東新華製藥股份有限公司（「</w:t>
      </w:r>
      <w:r>
        <w:rPr>
          <w:rFonts w:hint="eastAsia" w:ascii="Times New Roman" w:hAnsi="Times New Roman"/>
          <w:b/>
          <w:sz w:val="22"/>
          <w:lang w:eastAsia="zh-TW"/>
        </w:rPr>
        <w:t>本公司</w:t>
      </w:r>
      <w:r>
        <w:rPr>
          <w:rFonts w:hint="eastAsia" w:ascii="Times New Roman" w:hAnsi="Times New Roman"/>
          <w:sz w:val="22"/>
          <w:lang w:eastAsia="zh-TW"/>
        </w:rPr>
        <w:t>」）董事會（「</w:t>
      </w:r>
      <w:r>
        <w:rPr>
          <w:rFonts w:hint="eastAsia" w:ascii="Times New Roman" w:hAnsi="Times New Roman"/>
          <w:b/>
          <w:sz w:val="22"/>
          <w:lang w:eastAsia="zh-TW"/>
        </w:rPr>
        <w:t>董事會</w:t>
      </w:r>
      <w:r>
        <w:rPr>
          <w:rFonts w:hint="eastAsia" w:ascii="Times New Roman" w:hAnsi="Times New Roman"/>
          <w:sz w:val="22"/>
          <w:lang w:eastAsia="zh-TW"/>
        </w:rPr>
        <w:t>」）及董事（「</w:t>
      </w:r>
      <w:r>
        <w:rPr>
          <w:rFonts w:hint="eastAsia" w:ascii="Times New Roman" w:hAnsi="Times New Roman"/>
          <w:b/>
          <w:sz w:val="22"/>
          <w:lang w:eastAsia="zh-TW"/>
        </w:rPr>
        <w:t>董事</w:t>
      </w:r>
      <w:r>
        <w:rPr>
          <w:rFonts w:hint="eastAsia" w:ascii="Times New Roman" w:hAnsi="Times New Roman"/>
          <w:sz w:val="22"/>
          <w:lang w:eastAsia="zh-TW"/>
        </w:rPr>
        <w:t>」）謹此宣佈本公司及其附屬公司（「</w:t>
      </w:r>
      <w:r>
        <w:rPr>
          <w:rFonts w:hint="eastAsia" w:ascii="Times New Roman" w:hAnsi="Times New Roman"/>
          <w:b/>
          <w:sz w:val="22"/>
          <w:lang w:eastAsia="zh-TW"/>
        </w:rPr>
        <w:t>本集團</w:t>
      </w:r>
      <w:r>
        <w:rPr>
          <w:rFonts w:hint="eastAsia" w:ascii="Times New Roman" w:hAnsi="Times New Roman"/>
          <w:sz w:val="22"/>
          <w:lang w:eastAsia="zh-TW"/>
        </w:rPr>
        <w:t>」）截至</w:t>
      </w:r>
      <w:r>
        <w:rPr>
          <w:rFonts w:ascii="Times New Roman" w:hAnsi="Times New Roman"/>
          <w:sz w:val="22"/>
          <w:lang w:eastAsia="zh-TW"/>
        </w:rPr>
        <w:t>2017年12</w:t>
      </w:r>
      <w:r>
        <w:rPr>
          <w:rFonts w:hint="eastAsia" w:ascii="Times New Roman" w:hAnsi="Times New Roman"/>
          <w:sz w:val="22"/>
          <w:lang w:eastAsia="zh-TW"/>
        </w:rPr>
        <w:t>月</w:t>
      </w:r>
      <w:r>
        <w:rPr>
          <w:rFonts w:ascii="Times New Roman" w:hAnsi="Times New Roman"/>
          <w:sz w:val="22"/>
          <w:lang w:eastAsia="zh-TW"/>
        </w:rPr>
        <w:t>31</w:t>
      </w:r>
      <w:r>
        <w:rPr>
          <w:rFonts w:hint="eastAsia" w:ascii="Times New Roman" w:hAnsi="Times New Roman"/>
          <w:sz w:val="22"/>
          <w:lang w:eastAsia="zh-TW"/>
        </w:rPr>
        <w:t>日止年度的（「</w:t>
      </w:r>
      <w:r>
        <w:rPr>
          <w:rFonts w:hint="eastAsia" w:ascii="Times New Roman" w:hAnsi="Times New Roman"/>
          <w:b/>
          <w:sz w:val="22"/>
          <w:lang w:eastAsia="zh-TW"/>
        </w:rPr>
        <w:t>本報告期</w:t>
      </w:r>
      <w:r>
        <w:rPr>
          <w:rFonts w:hint="eastAsia" w:ascii="Times New Roman" w:hAnsi="Times New Roman"/>
          <w:sz w:val="22"/>
          <w:lang w:eastAsia="zh-TW"/>
        </w:rPr>
        <w:t>」）經審核綜合業績。下列財務資料根據中國企業會計準則（「</w:t>
      </w:r>
      <w:r>
        <w:rPr>
          <w:rFonts w:hint="eastAsia" w:ascii="Times New Roman" w:hAnsi="Times New Roman"/>
          <w:b/>
          <w:sz w:val="22"/>
          <w:lang w:eastAsia="zh-TW"/>
        </w:rPr>
        <w:t>《中國企業會計準則》</w:t>
      </w:r>
      <w:r>
        <w:rPr>
          <w:rFonts w:hint="eastAsia" w:ascii="Times New Roman" w:hAnsi="Times New Roman"/>
          <w:sz w:val="22"/>
          <w:lang w:eastAsia="zh-TW"/>
        </w:rPr>
        <w:t>」）編制。</w:t>
      </w:r>
    </w:p>
    <w:p>
      <w:pPr>
        <w:pStyle w:val="24"/>
        <w:spacing w:line="320" w:lineRule="exact"/>
        <w:rPr>
          <w:rFonts w:ascii="Times New Roman" w:hAnsi="Times New Roman"/>
          <w:sz w:val="22"/>
          <w:lang w:eastAsia="zh-TW"/>
        </w:rPr>
      </w:pPr>
      <w:r>
        <w:rPr>
          <w:rFonts w:hint="eastAsia" w:ascii="Times New Roman" w:hAnsi="Times New Roman"/>
          <w:sz w:val="22"/>
          <w:lang w:eastAsia="zh-TW"/>
        </w:rPr>
        <w:t>本公告分別以中文及英文刊載。</w:t>
      </w:r>
      <w:r>
        <w:rPr>
          <w:rFonts w:ascii="Times New Roman" w:hAnsi="Times New Roman"/>
          <w:sz w:val="22"/>
          <w:lang w:eastAsia="zh-TW"/>
        </w:rPr>
        <w:t>如中英文有任何差異，概以中文為凖。</w:t>
      </w:r>
    </w:p>
    <w:p>
      <w:pPr>
        <w:widowControl/>
        <w:numPr>
          <w:ilvl w:val="0"/>
          <w:numId w:val="3"/>
        </w:numPr>
        <w:autoSpaceDE w:val="0"/>
        <w:autoSpaceDN w:val="0"/>
        <w:adjustRightInd w:val="0"/>
        <w:jc w:val="left"/>
        <w:rPr>
          <w:b/>
          <w:color w:val="000000"/>
          <w:sz w:val="22"/>
        </w:rPr>
      </w:pPr>
      <w:r>
        <w:rPr>
          <w:rFonts w:cs="PMingLiU"/>
          <w:color w:val="000000"/>
          <w:kern w:val="0"/>
          <w:sz w:val="22"/>
          <w:szCs w:val="22"/>
          <w:lang w:eastAsia="zh-TW"/>
        </w:rPr>
        <w:t xml:space="preserve"> </w:t>
      </w:r>
      <w:r>
        <w:rPr>
          <w:rFonts w:hint="eastAsia"/>
          <w:b/>
          <w:sz w:val="22"/>
        </w:rPr>
        <w:t>公司基本情況</w:t>
      </w:r>
    </w:p>
    <w:p>
      <w:pPr>
        <w:pStyle w:val="24"/>
        <w:rPr>
          <w:rFonts w:ascii="Times New Roman" w:hAnsi="Times New Roman"/>
          <w:sz w:val="22"/>
          <w:lang w:eastAsia="zh-TW"/>
        </w:rPr>
      </w:pPr>
      <w:r>
        <w:rPr>
          <w:rFonts w:hint="eastAsia" w:ascii="Times New Roman" w:hAnsi="Times New Roman"/>
          <w:sz w:val="22"/>
          <w:lang w:eastAsia="zh-TW"/>
        </w:rPr>
        <w:t>公司中文名稱</w:t>
      </w:r>
      <w:r>
        <w:rPr>
          <w:rFonts w:ascii="Times New Roman" w:hAnsi="Times New Roman"/>
          <w:sz w:val="22"/>
          <w:lang w:eastAsia="zh-TW"/>
        </w:rPr>
        <w:t>:</w:t>
      </w:r>
      <w:r>
        <w:rPr>
          <w:rFonts w:hint="eastAsia" w:ascii="Times New Roman" w:hAnsi="Times New Roman"/>
          <w:sz w:val="22"/>
          <w:lang w:eastAsia="zh-TW"/>
        </w:rPr>
        <w:t>山東新華製藥股份有限公司</w:t>
      </w:r>
    </w:p>
    <w:p>
      <w:pPr>
        <w:pStyle w:val="24"/>
        <w:rPr>
          <w:rFonts w:ascii="Times New Roman" w:hAnsi="Times New Roman"/>
          <w:sz w:val="22"/>
        </w:rPr>
      </w:pPr>
      <w:r>
        <w:rPr>
          <w:rFonts w:hint="eastAsia" w:ascii="Times New Roman" w:hAnsi="Times New Roman"/>
          <w:sz w:val="22"/>
        </w:rPr>
        <w:t>公司英文名稱</w:t>
      </w:r>
      <w:r>
        <w:rPr>
          <w:rFonts w:ascii="Times New Roman" w:hAnsi="Times New Roman"/>
          <w:sz w:val="22"/>
        </w:rPr>
        <w:t>:SHANDONG XINHUA PHARMACEUTICAL COMPANY LIMITED</w:t>
      </w:r>
    </w:p>
    <w:p>
      <w:pPr>
        <w:pStyle w:val="24"/>
        <w:rPr>
          <w:rFonts w:ascii="Times New Roman" w:hAnsi="Times New Roman"/>
          <w:sz w:val="22"/>
        </w:rPr>
      </w:pPr>
      <w:r>
        <w:rPr>
          <w:rFonts w:hint="eastAsia" w:ascii="Times New Roman" w:hAnsi="Times New Roman"/>
          <w:sz w:val="22"/>
        </w:rPr>
        <w:t>公司法定代表人</w:t>
      </w:r>
      <w:r>
        <w:rPr>
          <w:rFonts w:ascii="Times New Roman" w:hAnsi="Times New Roman"/>
          <w:sz w:val="22"/>
        </w:rPr>
        <w:t>:</w:t>
      </w:r>
      <w:r>
        <w:rPr>
          <w:rFonts w:hint="eastAsia" w:ascii="Times New Roman" w:hAnsi="Times New Roman"/>
          <w:sz w:val="22"/>
        </w:rPr>
        <w:t>張代銘</w:t>
      </w:r>
    </w:p>
    <w:p>
      <w:pPr>
        <w:pStyle w:val="24"/>
        <w:rPr>
          <w:rFonts w:ascii="Times New Roman" w:hAnsi="Times New Roman"/>
          <w:sz w:val="22"/>
          <w:lang w:eastAsia="zh-TW"/>
        </w:rPr>
      </w:pPr>
      <w:r>
        <w:rPr>
          <w:rFonts w:hint="eastAsia" w:ascii="Times New Roman" w:hAnsi="Times New Roman"/>
          <w:sz w:val="22"/>
          <w:lang w:eastAsia="zh-TW"/>
        </w:rPr>
        <w:t>董事會秘書</w:t>
      </w:r>
      <w:r>
        <w:rPr>
          <w:rFonts w:ascii="Times New Roman" w:hAnsi="Times New Roman"/>
          <w:sz w:val="22"/>
          <w:lang w:eastAsia="zh-TW"/>
        </w:rPr>
        <w:t>:</w:t>
      </w:r>
      <w:r>
        <w:rPr>
          <w:rFonts w:hint="eastAsia" w:ascii="Times New Roman" w:hAnsi="Times New Roman"/>
          <w:sz w:val="22"/>
          <w:lang w:eastAsia="zh-TW"/>
        </w:rPr>
        <w:t>曹長求</w:t>
      </w:r>
      <w:r>
        <w:rPr>
          <w:rFonts w:ascii="Times New Roman" w:hAnsi="Times New Roman"/>
          <w:sz w:val="22"/>
          <w:lang w:eastAsia="zh-TW"/>
        </w:rPr>
        <w:t xml:space="preserve"> </w:t>
      </w:r>
    </w:p>
    <w:p>
      <w:pPr>
        <w:pStyle w:val="24"/>
        <w:rPr>
          <w:rFonts w:ascii="Times New Roman" w:hAnsi="Times New Roman"/>
          <w:sz w:val="22"/>
          <w:lang w:eastAsia="zh-TW"/>
        </w:rPr>
      </w:pPr>
      <w:r>
        <w:rPr>
          <w:rFonts w:hint="eastAsia" w:ascii="Times New Roman" w:hAnsi="Times New Roman"/>
          <w:sz w:val="22"/>
          <w:lang w:eastAsia="zh-TW"/>
        </w:rPr>
        <w:t>聯</w:t>
      </w:r>
      <w:r>
        <w:rPr>
          <w:rFonts w:ascii="Times New Roman" w:hAnsi="Times New Roman"/>
          <w:sz w:val="22"/>
          <w:lang w:eastAsia="zh-TW"/>
        </w:rPr>
        <w:t xml:space="preserve">  </w:t>
      </w:r>
      <w:r>
        <w:rPr>
          <w:rFonts w:hint="eastAsia" w:ascii="Times New Roman" w:hAnsi="Times New Roman"/>
          <w:sz w:val="22"/>
          <w:lang w:eastAsia="zh-TW"/>
        </w:rPr>
        <w:t>繫</w:t>
      </w:r>
      <w:r>
        <w:rPr>
          <w:rFonts w:ascii="Times New Roman" w:hAnsi="Times New Roman"/>
          <w:sz w:val="22"/>
          <w:lang w:eastAsia="zh-TW"/>
        </w:rPr>
        <w:t xml:space="preserve">  </w:t>
      </w:r>
      <w:r>
        <w:rPr>
          <w:rFonts w:hint="eastAsia" w:ascii="Times New Roman" w:hAnsi="Times New Roman"/>
          <w:sz w:val="22"/>
          <w:lang w:eastAsia="zh-TW"/>
        </w:rPr>
        <w:t>電</w:t>
      </w:r>
      <w:r>
        <w:rPr>
          <w:rFonts w:ascii="Times New Roman" w:hAnsi="Times New Roman"/>
          <w:sz w:val="22"/>
          <w:lang w:eastAsia="zh-TW"/>
        </w:rPr>
        <w:t xml:space="preserve">  </w:t>
      </w:r>
      <w:r>
        <w:rPr>
          <w:rFonts w:hint="eastAsia" w:ascii="Times New Roman" w:hAnsi="Times New Roman"/>
          <w:sz w:val="22"/>
          <w:lang w:eastAsia="zh-TW"/>
        </w:rPr>
        <w:t>話</w:t>
      </w:r>
      <w:r>
        <w:rPr>
          <w:rFonts w:ascii="Times New Roman" w:hAnsi="Times New Roman"/>
          <w:sz w:val="22"/>
          <w:lang w:eastAsia="zh-TW"/>
        </w:rPr>
        <w:t>: 86-533-2196024</w:t>
      </w:r>
    </w:p>
    <w:p>
      <w:pPr>
        <w:pStyle w:val="24"/>
        <w:rPr>
          <w:rFonts w:ascii="Times New Roman" w:hAnsi="Times New Roman"/>
          <w:sz w:val="22"/>
          <w:lang w:eastAsia="zh-TW"/>
        </w:rPr>
      </w:pPr>
      <w:r>
        <w:rPr>
          <w:rFonts w:hint="eastAsia" w:ascii="Times New Roman" w:hAnsi="Times New Roman"/>
          <w:sz w:val="22"/>
          <w:lang w:eastAsia="zh-TW"/>
        </w:rPr>
        <w:t>傳</w:t>
      </w:r>
      <w:r>
        <w:rPr>
          <w:rFonts w:ascii="Times New Roman" w:hAnsi="Times New Roman"/>
          <w:sz w:val="22"/>
          <w:lang w:eastAsia="zh-TW"/>
        </w:rPr>
        <w:t xml:space="preserve">  </w:t>
      </w:r>
      <w:r>
        <w:rPr>
          <w:rFonts w:hint="eastAsia" w:ascii="Times New Roman" w:hAnsi="Times New Roman"/>
          <w:sz w:val="22"/>
          <w:lang w:eastAsia="zh-TW"/>
        </w:rPr>
        <w:t>真</w:t>
      </w:r>
      <w:r>
        <w:rPr>
          <w:rFonts w:ascii="Times New Roman" w:hAnsi="Times New Roman"/>
          <w:sz w:val="22"/>
          <w:lang w:eastAsia="zh-TW"/>
        </w:rPr>
        <w:t xml:space="preserve">  </w:t>
      </w:r>
      <w:r>
        <w:rPr>
          <w:rFonts w:hint="eastAsia" w:ascii="Times New Roman" w:hAnsi="Times New Roman"/>
          <w:sz w:val="22"/>
          <w:lang w:eastAsia="zh-TW"/>
        </w:rPr>
        <w:t>號</w:t>
      </w:r>
      <w:r>
        <w:rPr>
          <w:rFonts w:ascii="Times New Roman" w:hAnsi="Times New Roman"/>
          <w:sz w:val="22"/>
          <w:lang w:eastAsia="zh-TW"/>
        </w:rPr>
        <w:t xml:space="preserve">  </w:t>
      </w:r>
      <w:r>
        <w:rPr>
          <w:rFonts w:hint="eastAsia" w:ascii="Times New Roman" w:hAnsi="Times New Roman"/>
          <w:sz w:val="22"/>
          <w:lang w:eastAsia="zh-TW"/>
        </w:rPr>
        <w:t>碼</w:t>
      </w:r>
      <w:r>
        <w:rPr>
          <w:rFonts w:ascii="Times New Roman" w:hAnsi="Times New Roman"/>
          <w:sz w:val="22"/>
          <w:lang w:eastAsia="zh-TW"/>
        </w:rPr>
        <w:t>: 86-533-2287508</w:t>
      </w:r>
    </w:p>
    <w:p>
      <w:pPr>
        <w:pStyle w:val="24"/>
        <w:rPr>
          <w:rFonts w:ascii="Times New Roman" w:hAnsi="Times New Roman"/>
          <w:sz w:val="22"/>
          <w:lang w:eastAsia="zh-TW"/>
        </w:rPr>
      </w:pPr>
      <w:r>
        <w:rPr>
          <w:rFonts w:hint="eastAsia" w:ascii="Times New Roman" w:hAnsi="Times New Roman"/>
          <w:sz w:val="22"/>
          <w:lang w:eastAsia="zh-TW"/>
        </w:rPr>
        <w:t>董事會秘書電子信箱：</w:t>
      </w:r>
      <w:r>
        <w:fldChar w:fldCharType="begin"/>
      </w:r>
      <w:r>
        <w:instrText xml:space="preserve">HYPERLINK "C:\\Users\\adrianyick\\AppData\\Local\\Microsoft\\Windows\\Temporary Internet Files\\Content.Outlook\\AppData\\Local\\Microsoft\\Windows\\Temporary Internet Files\\iegm\\Desktop\\cqcao@xhzy.com" </w:instrText>
      </w:r>
      <w:r>
        <w:fldChar w:fldCharType="separate"/>
      </w:r>
      <w:r>
        <w:rPr>
          <w:rStyle w:val="41"/>
          <w:rFonts w:ascii="Times New Roman" w:hAnsi="Times New Roman"/>
          <w:color w:val="auto"/>
          <w:sz w:val="22"/>
          <w:lang w:eastAsia="zh-TW"/>
        </w:rPr>
        <w:t>cqcao@xhzy.com</w:t>
      </w:r>
      <w:r>
        <w:fldChar w:fldCharType="end"/>
      </w:r>
    </w:p>
    <w:p>
      <w:pPr>
        <w:pStyle w:val="24"/>
        <w:rPr>
          <w:rFonts w:ascii="Times New Roman" w:hAnsi="Times New Roman"/>
          <w:sz w:val="22"/>
          <w:lang w:eastAsia="zh-TW"/>
        </w:rPr>
      </w:pPr>
      <w:r>
        <w:rPr>
          <w:rFonts w:hint="eastAsia" w:ascii="Times New Roman" w:hAnsi="Times New Roman"/>
          <w:sz w:val="22"/>
          <w:lang w:eastAsia="zh-TW"/>
        </w:rPr>
        <w:t>公司註冊地址：中華人民共和國（</w:t>
      </w:r>
      <w:r>
        <w:rPr>
          <w:rFonts w:hint="eastAsia" w:ascii="Times New Roman" w:hAnsi="Times New Roman"/>
          <w:b/>
          <w:sz w:val="22"/>
          <w:lang w:eastAsia="zh-TW"/>
        </w:rPr>
        <w:t>「中國</w:t>
      </w:r>
      <w:r>
        <w:rPr>
          <w:rFonts w:hint="eastAsia" w:ascii="Times New Roman" w:hAnsi="Times New Roman"/>
          <w:sz w:val="22"/>
          <w:lang w:eastAsia="zh-TW"/>
        </w:rPr>
        <w:t>」）山東省淄博市高新技術產業開發區化工區</w:t>
      </w:r>
    </w:p>
    <w:p>
      <w:pPr>
        <w:pStyle w:val="24"/>
        <w:rPr>
          <w:rFonts w:ascii="Times New Roman" w:hAnsi="Times New Roman"/>
          <w:sz w:val="22"/>
          <w:lang w:eastAsia="zh-TW"/>
        </w:rPr>
      </w:pPr>
      <w:r>
        <w:rPr>
          <w:rFonts w:hint="eastAsia" w:ascii="Times New Roman" w:hAnsi="Times New Roman"/>
          <w:sz w:val="22"/>
          <w:lang w:eastAsia="zh-TW"/>
        </w:rPr>
        <w:t>公司辦公地址：中國山東省淄博市高新技術產業開發區魯泰大道</w:t>
      </w:r>
      <w:r>
        <w:rPr>
          <w:rFonts w:ascii="Times New Roman" w:hAnsi="Times New Roman"/>
          <w:sz w:val="22"/>
          <w:lang w:eastAsia="zh-TW"/>
        </w:rPr>
        <w:t>1</w:t>
      </w:r>
      <w:r>
        <w:rPr>
          <w:rFonts w:hint="eastAsia" w:ascii="Times New Roman" w:hAnsi="Times New Roman"/>
          <w:sz w:val="22"/>
          <w:lang w:eastAsia="zh-TW"/>
        </w:rPr>
        <w:t>號</w:t>
      </w:r>
    </w:p>
    <w:p>
      <w:pPr>
        <w:pStyle w:val="24"/>
        <w:rPr>
          <w:rFonts w:ascii="Times New Roman" w:hAnsi="Times New Roman"/>
          <w:sz w:val="22"/>
          <w:lang w:eastAsia="zh-TW"/>
        </w:rPr>
      </w:pPr>
    </w:p>
    <w:p>
      <w:pPr>
        <w:pStyle w:val="24"/>
        <w:rPr>
          <w:rFonts w:ascii="Times New Roman" w:hAnsi="Times New Roman"/>
          <w:sz w:val="22"/>
          <w:lang w:eastAsia="zh-TW"/>
        </w:rPr>
      </w:pPr>
      <w:r>
        <w:rPr>
          <w:rFonts w:hint="eastAsia" w:ascii="Times New Roman" w:hAnsi="Times New Roman"/>
          <w:sz w:val="22"/>
          <w:lang w:eastAsia="zh-TW"/>
        </w:rPr>
        <w:t>郵</w:t>
      </w:r>
      <w:r>
        <w:rPr>
          <w:rFonts w:ascii="Times New Roman" w:hAnsi="Times New Roman"/>
          <w:sz w:val="22"/>
          <w:lang w:eastAsia="zh-TW"/>
        </w:rPr>
        <w:t xml:space="preserve"> </w:t>
      </w:r>
      <w:r>
        <w:rPr>
          <w:rFonts w:hint="eastAsia" w:ascii="Times New Roman" w:hAnsi="Times New Roman"/>
          <w:sz w:val="22"/>
          <w:lang w:eastAsia="zh-TW"/>
        </w:rPr>
        <w:t>政</w:t>
      </w:r>
      <w:r>
        <w:rPr>
          <w:rFonts w:ascii="Times New Roman" w:hAnsi="Times New Roman"/>
          <w:sz w:val="22"/>
          <w:lang w:eastAsia="zh-TW"/>
        </w:rPr>
        <w:t xml:space="preserve"> </w:t>
      </w:r>
      <w:r>
        <w:rPr>
          <w:rFonts w:hint="eastAsia" w:ascii="Times New Roman" w:hAnsi="Times New Roman"/>
          <w:sz w:val="22"/>
          <w:lang w:eastAsia="zh-TW"/>
        </w:rPr>
        <w:t>編</w:t>
      </w:r>
      <w:r>
        <w:rPr>
          <w:rFonts w:ascii="Times New Roman" w:hAnsi="Times New Roman"/>
          <w:sz w:val="22"/>
          <w:lang w:eastAsia="zh-TW"/>
        </w:rPr>
        <w:t xml:space="preserve"> </w:t>
      </w:r>
      <w:r>
        <w:rPr>
          <w:rFonts w:hint="eastAsia" w:ascii="Times New Roman" w:hAnsi="Times New Roman"/>
          <w:sz w:val="22"/>
          <w:lang w:eastAsia="zh-TW"/>
        </w:rPr>
        <w:t>碼</w:t>
      </w:r>
      <w:r>
        <w:rPr>
          <w:rFonts w:ascii="Times New Roman" w:hAnsi="Times New Roman"/>
          <w:sz w:val="22"/>
          <w:lang w:eastAsia="zh-TW"/>
        </w:rPr>
        <w:t xml:space="preserve"> : 255086</w:t>
      </w:r>
    </w:p>
    <w:p>
      <w:pPr>
        <w:pStyle w:val="24"/>
        <w:rPr>
          <w:rFonts w:ascii="Times New Roman" w:hAnsi="Times New Roman"/>
          <w:sz w:val="22"/>
          <w:lang w:eastAsia="zh-TW"/>
        </w:rPr>
      </w:pPr>
      <w:r>
        <w:rPr>
          <w:rFonts w:hint="eastAsia" w:ascii="Times New Roman" w:hAnsi="Times New Roman"/>
          <w:sz w:val="22"/>
          <w:lang w:eastAsia="zh-TW"/>
        </w:rPr>
        <w:t>公司互聯網網址：</w:t>
      </w:r>
      <w:r>
        <w:rPr>
          <w:rFonts w:ascii="Times New Roman" w:hAnsi="Times New Roman"/>
          <w:lang w:eastAsia="zh-TW"/>
        </w:rPr>
        <w:t>http://www.xhzy.com</w:t>
      </w:r>
    </w:p>
    <w:p>
      <w:pPr>
        <w:pStyle w:val="24"/>
        <w:rPr>
          <w:rFonts w:ascii="Times New Roman" w:hAnsi="Times New Roman"/>
          <w:sz w:val="22"/>
        </w:rPr>
      </w:pPr>
      <w:r>
        <w:rPr>
          <w:rFonts w:hint="eastAsia" w:ascii="Times New Roman" w:hAnsi="Times New Roman"/>
          <w:sz w:val="22"/>
        </w:rPr>
        <w:t>公司電子信箱：</w:t>
      </w:r>
      <w:r>
        <w:fldChar w:fldCharType="begin"/>
      </w:r>
      <w:r>
        <w:instrText xml:space="preserve">HYPERLINK "mailto:xhzy@xhzy.com" </w:instrText>
      </w:r>
      <w:r>
        <w:fldChar w:fldCharType="separate"/>
      </w:r>
      <w:r>
        <w:rPr>
          <w:rStyle w:val="41"/>
          <w:rFonts w:ascii="Times New Roman" w:hAnsi="Times New Roman"/>
          <w:color w:val="auto"/>
          <w:sz w:val="22"/>
          <w:lang w:eastAsia="zh-TW"/>
        </w:rPr>
        <w:t>xhzy@xhzy.com</w:t>
      </w:r>
      <w:r>
        <w:fldChar w:fldCharType="end"/>
      </w:r>
    </w:p>
    <w:p>
      <w:pPr>
        <w:pStyle w:val="24"/>
        <w:rPr>
          <w:rFonts w:ascii="Times New Roman" w:hAnsi="Times New Roman"/>
          <w:sz w:val="22"/>
          <w:lang w:eastAsia="zh-TW"/>
        </w:rPr>
      </w:pPr>
      <w:r>
        <w:rPr>
          <w:rFonts w:hint="eastAsia" w:ascii="Times New Roman" w:hAnsi="Times New Roman"/>
          <w:sz w:val="22"/>
          <w:lang w:eastAsia="zh-TW"/>
        </w:rPr>
        <w:t>國內資訊披露報紙：《證券時報》</w:t>
      </w:r>
    </w:p>
    <w:p>
      <w:pPr>
        <w:pStyle w:val="24"/>
        <w:rPr>
          <w:rFonts w:ascii="Times New Roman" w:hAnsi="Times New Roman"/>
          <w:sz w:val="22"/>
        </w:rPr>
      </w:pPr>
      <w:r>
        <w:rPr>
          <w:rFonts w:hint="eastAsia" w:ascii="Times New Roman" w:hAnsi="Times New Roman"/>
          <w:sz w:val="22"/>
        </w:rPr>
        <w:t>登載年報的中國證券監督管理委員會（</w:t>
      </w:r>
      <w:r>
        <w:rPr>
          <w:rFonts w:hint="eastAsia" w:ascii="Times New Roman" w:hAnsi="Times New Roman"/>
          <w:b/>
          <w:sz w:val="22"/>
        </w:rPr>
        <w:t>「中國證監會</w:t>
      </w:r>
      <w:r>
        <w:rPr>
          <w:rFonts w:hint="eastAsia" w:ascii="Times New Roman" w:hAnsi="Times New Roman"/>
          <w:sz w:val="22"/>
        </w:rPr>
        <w:t>」）指定網站的網址：</w:t>
      </w:r>
      <w:r>
        <w:rPr>
          <w:rFonts w:ascii="Times New Roman" w:hAnsi="Times New Roman"/>
          <w:sz w:val="22"/>
        </w:rPr>
        <w:t>http://www.cninfo.com.cn</w:t>
      </w:r>
    </w:p>
    <w:p>
      <w:pPr>
        <w:pStyle w:val="24"/>
        <w:rPr>
          <w:rFonts w:hint="eastAsia" w:ascii="Times New Roman" w:hAnsi="Times New Roman"/>
          <w:sz w:val="22"/>
          <w:lang w:eastAsia="zh-TW"/>
        </w:rPr>
      </w:pPr>
    </w:p>
    <w:p>
      <w:pPr>
        <w:pStyle w:val="24"/>
        <w:rPr>
          <w:rFonts w:hint="eastAsia" w:ascii="Times New Roman" w:hAnsi="Times New Roman"/>
          <w:sz w:val="22"/>
          <w:lang w:eastAsia="zh-TW"/>
        </w:rPr>
      </w:pPr>
      <w:r>
        <w:rPr>
          <w:rFonts w:hint="eastAsia" w:ascii="Times New Roman" w:hAnsi="Times New Roman"/>
          <w:sz w:val="22"/>
          <w:lang w:eastAsia="zh-TW"/>
        </w:rPr>
        <w:t>上市資料：</w:t>
      </w:r>
    </w:p>
    <w:p>
      <w:pPr>
        <w:pStyle w:val="24"/>
        <w:rPr>
          <w:rFonts w:hint="eastAsia" w:ascii="Times New Roman" w:hAnsi="Times New Roman"/>
          <w:sz w:val="22"/>
          <w:lang w:eastAsia="zh-TW"/>
        </w:rPr>
      </w:pPr>
    </w:p>
    <w:p>
      <w:pPr>
        <w:pStyle w:val="24"/>
        <w:rPr>
          <w:rFonts w:ascii="Times New Roman" w:hAnsi="Times New Roman"/>
          <w:sz w:val="22"/>
          <w:lang w:eastAsia="zh-TW"/>
        </w:rPr>
      </w:pPr>
      <w:r>
        <w:rPr>
          <w:rFonts w:ascii="Times New Roman" w:hAnsi="Times New Roman"/>
          <w:sz w:val="22"/>
          <w:lang w:eastAsia="zh-TW"/>
        </w:rPr>
        <w:t>H</w:t>
      </w:r>
      <w:r>
        <w:rPr>
          <w:rFonts w:hint="eastAsia" w:ascii="Times New Roman" w:hAnsi="Times New Roman"/>
          <w:sz w:val="22"/>
          <w:lang w:eastAsia="zh-TW"/>
        </w:rPr>
        <w:t>股：香港聯合交易所有限公司（</w:t>
      </w:r>
      <w:r>
        <w:rPr>
          <w:rFonts w:hint="eastAsia" w:ascii="Times New Roman" w:hAnsi="Times New Roman"/>
          <w:b/>
          <w:sz w:val="22"/>
          <w:lang w:eastAsia="zh-TW"/>
        </w:rPr>
        <w:t>「香港聯交所</w:t>
      </w:r>
      <w:r>
        <w:rPr>
          <w:rFonts w:hint="eastAsia" w:ascii="Times New Roman" w:hAnsi="Times New Roman"/>
          <w:sz w:val="22"/>
          <w:lang w:eastAsia="zh-TW"/>
        </w:rPr>
        <w:t>」）</w:t>
      </w:r>
    </w:p>
    <w:p>
      <w:pPr>
        <w:pStyle w:val="24"/>
        <w:rPr>
          <w:rFonts w:ascii="Times New Roman" w:hAnsi="Times New Roman"/>
          <w:sz w:val="22"/>
          <w:lang w:eastAsia="zh-TW"/>
        </w:rPr>
      </w:pPr>
      <w:r>
        <w:rPr>
          <w:rFonts w:hint="eastAsia" w:ascii="Times New Roman" w:hAnsi="Times New Roman"/>
          <w:sz w:val="22"/>
          <w:lang w:eastAsia="zh-TW"/>
        </w:rPr>
        <w:t>簡稱：山東新華製藥</w:t>
      </w:r>
    </w:p>
    <w:p>
      <w:pPr>
        <w:pStyle w:val="24"/>
        <w:rPr>
          <w:rFonts w:ascii="Times New Roman" w:hAnsi="Times New Roman"/>
          <w:sz w:val="22"/>
          <w:lang w:eastAsia="zh-TW"/>
        </w:rPr>
      </w:pPr>
      <w:r>
        <w:rPr>
          <w:rFonts w:hint="eastAsia" w:ascii="Times New Roman" w:hAnsi="Times New Roman"/>
          <w:sz w:val="22"/>
          <w:lang w:eastAsia="zh-TW"/>
        </w:rPr>
        <w:t>股份代號：</w:t>
      </w:r>
      <w:r>
        <w:rPr>
          <w:rFonts w:ascii="Times New Roman" w:hAnsi="Times New Roman"/>
          <w:sz w:val="22"/>
          <w:lang w:eastAsia="zh-TW"/>
        </w:rPr>
        <w:t>00719</w:t>
      </w:r>
    </w:p>
    <w:p>
      <w:pPr>
        <w:pStyle w:val="24"/>
        <w:rPr>
          <w:rFonts w:ascii="Times New Roman" w:hAnsi="Times New Roman"/>
          <w:sz w:val="22"/>
          <w:lang w:eastAsia="zh-TW"/>
        </w:rPr>
      </w:pPr>
    </w:p>
    <w:p>
      <w:pPr>
        <w:pStyle w:val="24"/>
        <w:rPr>
          <w:rFonts w:ascii="Times New Roman" w:hAnsi="Times New Roman"/>
          <w:sz w:val="22"/>
          <w:lang w:eastAsia="zh-TW"/>
        </w:rPr>
      </w:pPr>
      <w:r>
        <w:rPr>
          <w:rFonts w:ascii="Times New Roman" w:hAnsi="Times New Roman"/>
          <w:sz w:val="22"/>
          <w:lang w:eastAsia="zh-TW"/>
        </w:rPr>
        <w:t>A</w:t>
      </w:r>
      <w:r>
        <w:rPr>
          <w:rFonts w:hint="eastAsia" w:ascii="Times New Roman" w:hAnsi="Times New Roman"/>
          <w:sz w:val="22"/>
          <w:lang w:eastAsia="zh-TW"/>
        </w:rPr>
        <w:t>股：深圳證券交易所</w:t>
      </w:r>
    </w:p>
    <w:p>
      <w:pPr>
        <w:pStyle w:val="24"/>
        <w:rPr>
          <w:rFonts w:ascii="Times New Roman" w:hAnsi="Times New Roman"/>
          <w:sz w:val="22"/>
          <w:lang w:eastAsia="zh-TW"/>
        </w:rPr>
      </w:pPr>
      <w:r>
        <w:rPr>
          <w:rFonts w:hint="eastAsia" w:ascii="Times New Roman" w:hAnsi="Times New Roman"/>
          <w:sz w:val="22"/>
          <w:lang w:eastAsia="zh-TW"/>
        </w:rPr>
        <w:t>簡稱：新華製藥</w:t>
      </w:r>
    </w:p>
    <w:p>
      <w:pPr>
        <w:pStyle w:val="24"/>
        <w:rPr>
          <w:rFonts w:ascii="Times New Roman" w:hAnsi="Times New Roman"/>
          <w:sz w:val="22"/>
        </w:rPr>
      </w:pPr>
      <w:r>
        <w:rPr>
          <w:rFonts w:hint="eastAsia" w:ascii="Times New Roman" w:hAnsi="Times New Roman"/>
          <w:sz w:val="22"/>
        </w:rPr>
        <w:t>代碼：</w:t>
      </w:r>
      <w:r>
        <w:rPr>
          <w:rFonts w:ascii="Times New Roman" w:hAnsi="Times New Roman"/>
          <w:sz w:val="22"/>
        </w:rPr>
        <w:t xml:space="preserve">000756       </w:t>
      </w:r>
    </w:p>
    <w:p>
      <w:pPr>
        <w:pStyle w:val="24"/>
        <w:rPr>
          <w:rFonts w:ascii="Times New Roman" w:hAnsi="Times New Roman"/>
          <w:sz w:val="22"/>
        </w:rPr>
      </w:pPr>
    </w:p>
    <w:p>
      <w:pPr>
        <w:pStyle w:val="24"/>
        <w:rPr>
          <w:rFonts w:ascii="Times New Roman" w:hAnsi="Times New Roman"/>
          <w:b/>
          <w:sz w:val="22"/>
        </w:rPr>
      </w:pPr>
    </w:p>
    <w:p>
      <w:pPr>
        <w:pStyle w:val="24"/>
        <w:rPr>
          <w:rFonts w:ascii="Times New Roman" w:hAnsi="Times New Roman"/>
          <w:b/>
          <w:sz w:val="22"/>
        </w:rPr>
      </w:pPr>
    </w:p>
    <w:p>
      <w:pPr>
        <w:pStyle w:val="24"/>
        <w:rPr>
          <w:rFonts w:ascii="Times New Roman" w:hAnsi="Times New Roman"/>
          <w:b/>
          <w:sz w:val="22"/>
        </w:rPr>
      </w:pPr>
    </w:p>
    <w:p>
      <w:pPr>
        <w:pStyle w:val="24"/>
        <w:rPr>
          <w:rFonts w:ascii="Times New Roman" w:hAnsi="Times New Roman"/>
          <w:b/>
          <w:sz w:val="22"/>
        </w:rPr>
      </w:pPr>
    </w:p>
    <w:p>
      <w:pPr>
        <w:pStyle w:val="24"/>
        <w:rPr>
          <w:rFonts w:ascii="Times New Roman" w:hAnsi="Times New Roman"/>
          <w:b/>
          <w:sz w:val="22"/>
        </w:rPr>
      </w:pPr>
    </w:p>
    <w:p>
      <w:pPr>
        <w:pStyle w:val="24"/>
        <w:rPr>
          <w:rFonts w:ascii="Times New Roman" w:hAnsi="Times New Roman"/>
          <w:b/>
          <w:sz w:val="22"/>
        </w:rPr>
      </w:pPr>
    </w:p>
    <w:p>
      <w:pPr>
        <w:pStyle w:val="24"/>
        <w:rPr>
          <w:rFonts w:ascii="Times New Roman" w:hAnsi="Times New Roman"/>
          <w:b/>
          <w:sz w:val="22"/>
        </w:rPr>
      </w:pPr>
    </w:p>
    <w:p>
      <w:pPr>
        <w:pStyle w:val="24"/>
        <w:rPr>
          <w:rFonts w:ascii="Times New Roman" w:hAnsi="Times New Roman"/>
          <w:b/>
          <w:sz w:val="22"/>
        </w:rPr>
      </w:pPr>
    </w:p>
    <w:p>
      <w:pPr>
        <w:pStyle w:val="24"/>
        <w:rPr>
          <w:rFonts w:ascii="Times New Roman" w:hAnsi="Times New Roman"/>
          <w:b/>
          <w:sz w:val="22"/>
        </w:rPr>
      </w:pPr>
    </w:p>
    <w:p>
      <w:pPr>
        <w:pStyle w:val="24"/>
        <w:rPr>
          <w:rFonts w:ascii="Times New Roman" w:hAnsi="Times New Roman"/>
          <w:b/>
          <w:sz w:val="22"/>
        </w:rPr>
      </w:pPr>
    </w:p>
    <w:p>
      <w:pPr>
        <w:pStyle w:val="24"/>
        <w:rPr>
          <w:rFonts w:ascii="Times New Roman" w:hAnsi="Times New Roman"/>
          <w:b/>
          <w:sz w:val="22"/>
        </w:rPr>
      </w:pPr>
    </w:p>
    <w:p>
      <w:pPr>
        <w:pStyle w:val="24"/>
        <w:numPr>
          <w:ilvl w:val="0"/>
          <w:numId w:val="3"/>
        </w:numPr>
        <w:rPr>
          <w:rFonts w:ascii="Times New Roman" w:hAnsi="Times New Roman"/>
          <w:b/>
          <w:sz w:val="22"/>
        </w:rPr>
      </w:pPr>
      <w:r>
        <w:rPr>
          <w:rFonts w:hint="eastAsia" w:ascii="Times New Roman" w:hAnsi="Times New Roman"/>
          <w:b/>
          <w:sz w:val="22"/>
        </w:rPr>
        <w:t>財務摘要</w:t>
      </w:r>
    </w:p>
    <w:p>
      <w:pPr>
        <w:pStyle w:val="24"/>
        <w:ind w:left="555"/>
        <w:rPr>
          <w:rFonts w:ascii="Times New Roman" w:hAnsi="Times New Roman"/>
          <w:b/>
          <w:sz w:val="22"/>
          <w:lang w:eastAsia="zh-TW"/>
        </w:rPr>
      </w:pPr>
      <w:r>
        <w:rPr>
          <w:rFonts w:hint="eastAsia" w:ascii="Times New Roman" w:hAnsi="Times New Roman"/>
          <w:b/>
          <w:sz w:val="22"/>
          <w:lang w:eastAsia="zh-TW"/>
        </w:rPr>
        <w:t>按《中國企業會計準則》編制主要財務資料（經審計）</w:t>
      </w:r>
    </w:p>
    <w:p>
      <w:pPr>
        <w:pStyle w:val="24"/>
        <w:spacing w:line="320" w:lineRule="exact"/>
        <w:ind w:right="270"/>
        <w:jc w:val="right"/>
        <w:rPr>
          <w:rFonts w:ascii="Times New Roman" w:hAnsi="Times New Roman"/>
          <w:sz w:val="18"/>
        </w:rPr>
      </w:pPr>
      <w:r>
        <w:rPr>
          <w:rFonts w:hint="eastAsia" w:ascii="Times New Roman" w:hAnsi="Times New Roman"/>
          <w:sz w:val="18"/>
        </w:rPr>
        <w:t>單位：人民幣元</w:t>
      </w:r>
    </w:p>
    <w:tbl>
      <w:tblPr>
        <w:tblW w:w="95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
      <w:tblGrid>
        <w:gridCol w:w="2675"/>
        <w:gridCol w:w="1630"/>
        <w:gridCol w:w="1630"/>
        <w:gridCol w:w="1785"/>
        <w:gridCol w:w="1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rPr>
          <w:trHeight w:val="975" w:hRule="atLeast"/>
          <w:jc w:val="center"/>
        </w:trPr>
        <w:tc>
          <w:tcPr>
            <w:tcW w:w="2675" w:type="dxa"/>
            <w:vAlign w:val="center"/>
          </w:tcPr>
          <w:p>
            <w:pPr>
              <w:widowControl/>
              <w:rPr>
                <w:kern w:val="0"/>
                <w:sz w:val="18"/>
              </w:rPr>
            </w:pPr>
            <w:bookmarkStart w:id="0" w:name="OLE_LINK8"/>
          </w:p>
        </w:tc>
        <w:tc>
          <w:tcPr>
            <w:tcW w:w="1630" w:type="dxa"/>
            <w:vAlign w:val="center"/>
          </w:tcPr>
          <w:p>
            <w:pPr>
              <w:jc w:val="center"/>
              <w:rPr>
                <w:sz w:val="20"/>
              </w:rPr>
            </w:pPr>
            <w:r>
              <w:rPr>
                <w:sz w:val="20"/>
              </w:rPr>
              <w:t>2017</w:t>
            </w:r>
            <w:r>
              <w:rPr>
                <w:rFonts w:hint="eastAsia"/>
                <w:sz w:val="20"/>
              </w:rPr>
              <w:t>年</w:t>
            </w:r>
          </w:p>
        </w:tc>
        <w:tc>
          <w:tcPr>
            <w:tcW w:w="1630" w:type="dxa"/>
            <w:vAlign w:val="center"/>
          </w:tcPr>
          <w:p>
            <w:pPr>
              <w:jc w:val="center"/>
            </w:pPr>
            <w:r>
              <w:rPr>
                <w:sz w:val="20"/>
              </w:rPr>
              <w:t>2016</w:t>
            </w:r>
            <w:r>
              <w:rPr>
                <w:rFonts w:hint="eastAsia"/>
                <w:sz w:val="20"/>
              </w:rPr>
              <w:t>年</w:t>
            </w:r>
          </w:p>
        </w:tc>
        <w:tc>
          <w:tcPr>
            <w:tcW w:w="1785" w:type="dxa"/>
            <w:vAlign w:val="center"/>
          </w:tcPr>
          <w:p>
            <w:pPr>
              <w:jc w:val="center"/>
              <w:rPr>
                <w:sz w:val="20"/>
              </w:rPr>
            </w:pPr>
            <w:r>
              <w:rPr>
                <w:rFonts w:hint="eastAsia"/>
                <w:kern w:val="0"/>
                <w:sz w:val="20"/>
              </w:rPr>
              <w:t>本年比上年增減</w:t>
            </w:r>
          </w:p>
        </w:tc>
        <w:tc>
          <w:tcPr>
            <w:tcW w:w="1785" w:type="dxa"/>
            <w:vAlign w:val="center"/>
          </w:tcPr>
          <w:p>
            <w:pPr>
              <w:jc w:val="center"/>
            </w:pPr>
            <w:r>
              <w:rPr>
                <w:sz w:val="20"/>
              </w:rPr>
              <w:t>2015</w:t>
            </w:r>
            <w:r>
              <w:rPr>
                <w:rFonts w:hint="eastAsia"/>
                <w:sz w:val="2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rPr>
          <w:jc w:val="center"/>
        </w:trPr>
        <w:tc>
          <w:tcPr>
            <w:tcW w:w="2675" w:type="dxa"/>
            <w:vAlign w:val="center"/>
          </w:tcPr>
          <w:p>
            <w:pPr>
              <w:widowControl/>
              <w:rPr>
                <w:kern w:val="0"/>
                <w:sz w:val="20"/>
              </w:rPr>
            </w:pPr>
            <w:bookmarkStart w:id="1" w:name="OLE_LINK6" w:colFirst="2" w:colLast="2"/>
            <w:bookmarkStart w:id="2" w:name="OLE_LINK7" w:colFirst="2" w:colLast="2"/>
            <w:bookmarkStart w:id="3" w:name="_Hlk441669890"/>
            <w:r>
              <w:rPr>
                <w:rFonts w:hint="eastAsia"/>
                <w:kern w:val="0"/>
                <w:sz w:val="20"/>
              </w:rPr>
              <w:t>營業收入</w:t>
            </w:r>
          </w:p>
        </w:tc>
        <w:tc>
          <w:tcPr>
            <w:tcW w:w="1630" w:type="dxa"/>
            <w:vAlign w:val="center"/>
          </w:tcPr>
          <w:p>
            <w:pPr>
              <w:jc w:val="right"/>
              <w:rPr>
                <w:sz w:val="20"/>
              </w:rPr>
            </w:pPr>
            <w:r>
              <w:rPr>
                <w:sz w:val="20"/>
              </w:rPr>
              <w:t>4,515,716,784.19</w:t>
            </w:r>
          </w:p>
        </w:tc>
        <w:tc>
          <w:tcPr>
            <w:tcW w:w="1630" w:type="dxa"/>
            <w:vAlign w:val="center"/>
          </w:tcPr>
          <w:p>
            <w:pPr>
              <w:jc w:val="right"/>
              <w:rPr>
                <w:sz w:val="20"/>
              </w:rPr>
            </w:pPr>
            <w:r>
              <w:rPr>
                <w:sz w:val="20"/>
              </w:rPr>
              <w:t>4,014,963,065.74</w:t>
            </w:r>
          </w:p>
        </w:tc>
        <w:tc>
          <w:tcPr>
            <w:tcW w:w="1785" w:type="dxa"/>
            <w:vAlign w:val="center"/>
          </w:tcPr>
          <w:p>
            <w:pPr>
              <w:jc w:val="right"/>
              <w:rPr>
                <w:sz w:val="20"/>
              </w:rPr>
            </w:pPr>
            <w:r>
              <w:rPr>
                <w:sz w:val="20"/>
              </w:rPr>
              <w:t>12.47%</w:t>
            </w:r>
          </w:p>
        </w:tc>
        <w:tc>
          <w:tcPr>
            <w:tcW w:w="1785" w:type="dxa"/>
            <w:vAlign w:val="bottom"/>
          </w:tcPr>
          <w:p>
            <w:pPr>
              <w:jc w:val="right"/>
            </w:pPr>
            <w:r>
              <w:rPr>
                <w:sz w:val="20"/>
              </w:rPr>
              <w:t>3,597,033,209.79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rPr>
          <w:jc w:val="center"/>
        </w:trPr>
        <w:tc>
          <w:tcPr>
            <w:tcW w:w="2675" w:type="dxa"/>
            <w:vAlign w:val="center"/>
          </w:tcPr>
          <w:p>
            <w:pPr>
              <w:widowControl/>
              <w:rPr>
                <w:kern w:val="0"/>
                <w:sz w:val="20"/>
              </w:rPr>
            </w:pPr>
            <w:r>
              <w:rPr>
                <w:rFonts w:hint="eastAsia"/>
                <w:kern w:val="0"/>
                <w:sz w:val="20"/>
              </w:rPr>
              <w:t>利潤總額</w:t>
            </w:r>
          </w:p>
        </w:tc>
        <w:tc>
          <w:tcPr>
            <w:tcW w:w="1630" w:type="dxa"/>
            <w:vAlign w:val="center"/>
          </w:tcPr>
          <w:p>
            <w:pPr>
              <w:jc w:val="right"/>
              <w:rPr>
                <w:sz w:val="20"/>
              </w:rPr>
            </w:pPr>
            <w:r>
              <w:rPr>
                <w:sz w:val="20"/>
              </w:rPr>
              <w:t xml:space="preserve"> 268,173,876.00 </w:t>
            </w:r>
          </w:p>
        </w:tc>
        <w:tc>
          <w:tcPr>
            <w:tcW w:w="1630" w:type="dxa"/>
            <w:vAlign w:val="center"/>
          </w:tcPr>
          <w:p>
            <w:pPr>
              <w:jc w:val="right"/>
              <w:rPr>
                <w:sz w:val="20"/>
              </w:rPr>
            </w:pPr>
            <w:r>
              <w:rPr>
                <w:sz w:val="20"/>
              </w:rPr>
              <w:t>159,968,492.21</w:t>
            </w:r>
          </w:p>
        </w:tc>
        <w:tc>
          <w:tcPr>
            <w:tcW w:w="1785" w:type="dxa"/>
            <w:vAlign w:val="center"/>
          </w:tcPr>
          <w:p>
            <w:pPr>
              <w:jc w:val="right"/>
              <w:rPr>
                <w:sz w:val="20"/>
              </w:rPr>
            </w:pPr>
            <w:r>
              <w:rPr>
                <w:sz w:val="20"/>
              </w:rPr>
              <w:t>67.64%</w:t>
            </w:r>
          </w:p>
        </w:tc>
        <w:tc>
          <w:tcPr>
            <w:tcW w:w="1785" w:type="dxa"/>
            <w:vAlign w:val="bottom"/>
          </w:tcPr>
          <w:p>
            <w:pPr>
              <w:jc w:val="right"/>
            </w:pPr>
            <w:r>
              <w:rPr>
                <w:sz w:val="20"/>
              </w:rPr>
              <w:t>117,729,615.03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rPr>
          <w:jc w:val="center"/>
        </w:trPr>
        <w:tc>
          <w:tcPr>
            <w:tcW w:w="2675" w:type="dxa"/>
            <w:vAlign w:val="center"/>
          </w:tcPr>
          <w:p>
            <w:pPr>
              <w:widowControl/>
              <w:rPr>
                <w:kern w:val="0"/>
                <w:sz w:val="20"/>
              </w:rPr>
            </w:pPr>
            <w:r>
              <w:rPr>
                <w:rFonts w:hint="eastAsia"/>
                <w:kern w:val="0"/>
                <w:sz w:val="20"/>
              </w:rPr>
              <w:t>所得稅費用</w:t>
            </w:r>
          </w:p>
        </w:tc>
        <w:tc>
          <w:tcPr>
            <w:tcW w:w="1630" w:type="dxa"/>
            <w:vAlign w:val="center"/>
          </w:tcPr>
          <w:p>
            <w:pPr>
              <w:jc w:val="right"/>
              <w:rPr>
                <w:sz w:val="20"/>
              </w:rPr>
            </w:pPr>
            <w:r>
              <w:rPr>
                <w:sz w:val="20"/>
              </w:rPr>
              <w:t xml:space="preserve"> 46,925,124.11 </w:t>
            </w:r>
          </w:p>
        </w:tc>
        <w:tc>
          <w:tcPr>
            <w:tcW w:w="1630" w:type="dxa"/>
            <w:vAlign w:val="center"/>
          </w:tcPr>
          <w:p>
            <w:pPr>
              <w:jc w:val="right"/>
              <w:rPr>
                <w:sz w:val="20"/>
              </w:rPr>
            </w:pPr>
            <w:r>
              <w:rPr>
                <w:sz w:val="20"/>
              </w:rPr>
              <w:t>26,921,218.34</w:t>
            </w:r>
          </w:p>
        </w:tc>
        <w:tc>
          <w:tcPr>
            <w:tcW w:w="1785" w:type="dxa"/>
            <w:vAlign w:val="center"/>
          </w:tcPr>
          <w:p>
            <w:pPr>
              <w:jc w:val="right"/>
              <w:rPr>
                <w:sz w:val="20"/>
              </w:rPr>
            </w:pPr>
            <w:r>
              <w:rPr>
                <w:sz w:val="20"/>
              </w:rPr>
              <w:t>74.31%</w:t>
            </w:r>
          </w:p>
        </w:tc>
        <w:tc>
          <w:tcPr>
            <w:tcW w:w="1785" w:type="dxa"/>
            <w:vAlign w:val="bottom"/>
          </w:tcPr>
          <w:p>
            <w:pPr>
              <w:jc w:val="right"/>
            </w:pPr>
            <w:r>
              <w:rPr>
                <w:sz w:val="20"/>
              </w:rPr>
              <w:t>23,720,864.46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rPr>
          <w:jc w:val="center"/>
        </w:trPr>
        <w:tc>
          <w:tcPr>
            <w:tcW w:w="2675" w:type="dxa"/>
            <w:vAlign w:val="center"/>
          </w:tcPr>
          <w:p>
            <w:pPr>
              <w:widowControl/>
              <w:rPr>
                <w:kern w:val="0"/>
                <w:sz w:val="20"/>
              </w:rPr>
            </w:pPr>
            <w:r>
              <w:rPr>
                <w:rFonts w:hint="eastAsia"/>
                <w:kern w:val="0"/>
                <w:sz w:val="20"/>
              </w:rPr>
              <w:t>淨利潤</w:t>
            </w:r>
          </w:p>
        </w:tc>
        <w:tc>
          <w:tcPr>
            <w:tcW w:w="1630" w:type="dxa"/>
            <w:vAlign w:val="center"/>
          </w:tcPr>
          <w:p>
            <w:pPr>
              <w:jc w:val="right"/>
              <w:rPr>
                <w:sz w:val="20"/>
              </w:rPr>
            </w:pPr>
            <w:r>
              <w:rPr>
                <w:sz w:val="20"/>
              </w:rPr>
              <w:t xml:space="preserve"> 221,248,751.89 </w:t>
            </w:r>
          </w:p>
        </w:tc>
        <w:tc>
          <w:tcPr>
            <w:tcW w:w="1630" w:type="dxa"/>
            <w:vAlign w:val="center"/>
          </w:tcPr>
          <w:p>
            <w:pPr>
              <w:jc w:val="right"/>
              <w:rPr>
                <w:sz w:val="20"/>
              </w:rPr>
            </w:pPr>
            <w:r>
              <w:rPr>
                <w:sz w:val="20"/>
              </w:rPr>
              <w:t>133,047,273.87</w:t>
            </w:r>
          </w:p>
        </w:tc>
        <w:tc>
          <w:tcPr>
            <w:tcW w:w="1785" w:type="dxa"/>
            <w:vAlign w:val="center"/>
          </w:tcPr>
          <w:p>
            <w:pPr>
              <w:jc w:val="right"/>
              <w:rPr>
                <w:sz w:val="20"/>
              </w:rPr>
            </w:pPr>
            <w:r>
              <w:rPr>
                <w:sz w:val="20"/>
              </w:rPr>
              <w:t>66.29%</w:t>
            </w:r>
          </w:p>
        </w:tc>
        <w:tc>
          <w:tcPr>
            <w:tcW w:w="1785" w:type="dxa"/>
            <w:vAlign w:val="bottom"/>
          </w:tcPr>
          <w:p>
            <w:pPr>
              <w:jc w:val="right"/>
            </w:pPr>
            <w:r>
              <w:rPr>
                <w:sz w:val="20"/>
              </w:rPr>
              <w:t>94,008,750.57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rPr>
          <w:jc w:val="center"/>
        </w:trPr>
        <w:tc>
          <w:tcPr>
            <w:tcW w:w="2675" w:type="dxa"/>
            <w:vAlign w:val="center"/>
          </w:tcPr>
          <w:p>
            <w:pPr>
              <w:widowControl/>
              <w:rPr>
                <w:kern w:val="0"/>
                <w:sz w:val="20"/>
              </w:rPr>
            </w:pPr>
            <w:r>
              <w:rPr>
                <w:rFonts w:hint="eastAsia"/>
                <w:kern w:val="0"/>
                <w:sz w:val="20"/>
              </w:rPr>
              <w:t>少數股東損益</w:t>
            </w:r>
          </w:p>
        </w:tc>
        <w:tc>
          <w:tcPr>
            <w:tcW w:w="1630" w:type="dxa"/>
            <w:vAlign w:val="center"/>
          </w:tcPr>
          <w:p>
            <w:pPr>
              <w:jc w:val="right"/>
              <w:rPr>
                <w:sz w:val="20"/>
              </w:rPr>
            </w:pPr>
            <w:r>
              <w:rPr>
                <w:sz w:val="20"/>
              </w:rPr>
              <w:t xml:space="preserve"> 11,656,844.66 </w:t>
            </w:r>
          </w:p>
        </w:tc>
        <w:tc>
          <w:tcPr>
            <w:tcW w:w="1630" w:type="dxa"/>
            <w:vAlign w:val="center"/>
          </w:tcPr>
          <w:p>
            <w:pPr>
              <w:jc w:val="right"/>
              <w:rPr>
                <w:sz w:val="20"/>
              </w:rPr>
            </w:pPr>
            <w:r>
              <w:rPr>
                <w:sz w:val="20"/>
              </w:rPr>
              <w:t>10,775,724.19</w:t>
            </w:r>
          </w:p>
        </w:tc>
        <w:tc>
          <w:tcPr>
            <w:tcW w:w="1785" w:type="dxa"/>
            <w:vAlign w:val="center"/>
          </w:tcPr>
          <w:p>
            <w:pPr>
              <w:jc w:val="right"/>
              <w:rPr>
                <w:sz w:val="20"/>
              </w:rPr>
            </w:pPr>
            <w:r>
              <w:rPr>
                <w:sz w:val="20"/>
              </w:rPr>
              <w:t>8.18%</w:t>
            </w:r>
          </w:p>
        </w:tc>
        <w:tc>
          <w:tcPr>
            <w:tcW w:w="1785" w:type="dxa"/>
            <w:vAlign w:val="bottom"/>
          </w:tcPr>
          <w:p>
            <w:pPr>
              <w:jc w:val="right"/>
            </w:pPr>
            <w:r>
              <w:rPr>
                <w:sz w:val="20"/>
              </w:rPr>
              <w:t>10,946,493.40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rPr>
          <w:jc w:val="center"/>
        </w:trPr>
        <w:tc>
          <w:tcPr>
            <w:tcW w:w="2675" w:type="dxa"/>
            <w:vAlign w:val="center"/>
          </w:tcPr>
          <w:p>
            <w:pPr>
              <w:widowControl/>
              <w:rPr>
                <w:kern w:val="0"/>
                <w:sz w:val="20"/>
                <w:lang w:eastAsia="zh-TW"/>
              </w:rPr>
            </w:pPr>
            <w:r>
              <w:rPr>
                <w:rFonts w:hint="eastAsia"/>
                <w:kern w:val="0"/>
                <w:sz w:val="20"/>
                <w:lang w:eastAsia="zh-TW"/>
              </w:rPr>
              <w:t>歸屬於</w:t>
            </w:r>
            <w:r>
              <w:rPr>
                <w:rFonts w:hint="eastAsia" w:cs="宋体"/>
                <w:kern w:val="0"/>
                <w:sz w:val="20"/>
                <w:lang w:eastAsia="zh-TW"/>
              </w:rPr>
              <w:t>上市公司</w:t>
            </w:r>
            <w:r>
              <w:rPr>
                <w:rFonts w:hint="eastAsia"/>
                <w:kern w:val="0"/>
                <w:sz w:val="20"/>
                <w:lang w:eastAsia="zh-TW"/>
              </w:rPr>
              <w:t>股東的淨利潤</w:t>
            </w:r>
          </w:p>
        </w:tc>
        <w:tc>
          <w:tcPr>
            <w:tcW w:w="1630" w:type="dxa"/>
            <w:vAlign w:val="center"/>
          </w:tcPr>
          <w:p>
            <w:pPr>
              <w:jc w:val="right"/>
              <w:rPr>
                <w:sz w:val="20"/>
              </w:rPr>
            </w:pPr>
            <w:r>
              <w:rPr>
                <w:sz w:val="20"/>
              </w:rPr>
              <w:t>209,591,907.23</w:t>
            </w:r>
          </w:p>
        </w:tc>
        <w:tc>
          <w:tcPr>
            <w:tcW w:w="1630" w:type="dxa"/>
            <w:vAlign w:val="center"/>
          </w:tcPr>
          <w:p>
            <w:pPr>
              <w:jc w:val="right"/>
              <w:rPr>
                <w:sz w:val="20"/>
              </w:rPr>
            </w:pPr>
            <w:r>
              <w:rPr>
                <w:sz w:val="20"/>
              </w:rPr>
              <w:t>122,271,549.68</w:t>
            </w:r>
          </w:p>
        </w:tc>
        <w:tc>
          <w:tcPr>
            <w:tcW w:w="1785" w:type="dxa"/>
            <w:vAlign w:val="center"/>
          </w:tcPr>
          <w:p>
            <w:pPr>
              <w:jc w:val="right"/>
              <w:rPr>
                <w:sz w:val="20"/>
              </w:rPr>
            </w:pPr>
            <w:r>
              <w:rPr>
                <w:sz w:val="20"/>
              </w:rPr>
              <w:t>71.42%</w:t>
            </w:r>
          </w:p>
        </w:tc>
        <w:tc>
          <w:tcPr>
            <w:tcW w:w="1785" w:type="dxa"/>
            <w:vAlign w:val="bottom"/>
          </w:tcPr>
          <w:p>
            <w:pPr>
              <w:jc w:val="right"/>
            </w:pPr>
            <w:r>
              <w:rPr>
                <w:sz w:val="20"/>
              </w:rPr>
              <w:t>83,062,257.17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rPr>
          <w:trHeight w:val="408" w:hRule="atLeast"/>
          <w:jc w:val="center"/>
        </w:trPr>
        <w:tc>
          <w:tcPr>
            <w:tcW w:w="2675" w:type="dxa"/>
            <w:vAlign w:val="center"/>
          </w:tcPr>
          <w:p>
            <w:pPr>
              <w:widowControl/>
              <w:rPr>
                <w:kern w:val="0"/>
                <w:sz w:val="20"/>
                <w:lang w:eastAsia="zh-TW"/>
              </w:rPr>
            </w:pPr>
            <w:r>
              <w:rPr>
                <w:rFonts w:hint="eastAsia"/>
                <w:kern w:val="0"/>
                <w:sz w:val="20"/>
                <w:lang w:eastAsia="zh-TW"/>
              </w:rPr>
              <w:t>歸屬於</w:t>
            </w:r>
            <w:r>
              <w:rPr>
                <w:rFonts w:hint="eastAsia" w:cs="宋体"/>
                <w:kern w:val="0"/>
                <w:sz w:val="20"/>
                <w:lang w:eastAsia="zh-TW"/>
              </w:rPr>
              <w:t>上市公司</w:t>
            </w:r>
            <w:r>
              <w:rPr>
                <w:rFonts w:hint="eastAsia"/>
                <w:kern w:val="0"/>
                <w:sz w:val="20"/>
                <w:lang w:eastAsia="zh-TW"/>
              </w:rPr>
              <w:t>股東的扣除非經常損益的淨利潤</w:t>
            </w:r>
          </w:p>
        </w:tc>
        <w:tc>
          <w:tcPr>
            <w:tcW w:w="1630" w:type="dxa"/>
            <w:vAlign w:val="center"/>
          </w:tcPr>
          <w:p>
            <w:pPr>
              <w:jc w:val="right"/>
              <w:rPr>
                <w:sz w:val="20"/>
              </w:rPr>
            </w:pPr>
            <w:r>
              <w:rPr>
                <w:sz w:val="20"/>
              </w:rPr>
              <w:t>168,348,978.97</w:t>
            </w:r>
          </w:p>
        </w:tc>
        <w:tc>
          <w:tcPr>
            <w:tcW w:w="1630" w:type="dxa"/>
            <w:vAlign w:val="center"/>
          </w:tcPr>
          <w:p>
            <w:pPr>
              <w:jc w:val="right"/>
              <w:rPr>
                <w:sz w:val="20"/>
              </w:rPr>
            </w:pPr>
            <w:r>
              <w:rPr>
                <w:sz w:val="20"/>
              </w:rPr>
              <w:t>100,986,664.19</w:t>
            </w:r>
          </w:p>
        </w:tc>
        <w:tc>
          <w:tcPr>
            <w:tcW w:w="1785" w:type="dxa"/>
            <w:vAlign w:val="center"/>
          </w:tcPr>
          <w:p>
            <w:pPr>
              <w:jc w:val="right"/>
              <w:rPr>
                <w:sz w:val="20"/>
              </w:rPr>
            </w:pPr>
            <w:r>
              <w:rPr>
                <w:sz w:val="20"/>
              </w:rPr>
              <w:t>66.70%</w:t>
            </w:r>
          </w:p>
        </w:tc>
        <w:tc>
          <w:tcPr>
            <w:tcW w:w="1785" w:type="dxa"/>
            <w:vAlign w:val="center"/>
          </w:tcPr>
          <w:p>
            <w:pPr>
              <w:jc w:val="right"/>
            </w:pPr>
            <w:r>
              <w:rPr>
                <w:sz w:val="20"/>
              </w:rPr>
              <w:t>40,944,834.40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rPr>
          <w:jc w:val="center"/>
        </w:trPr>
        <w:tc>
          <w:tcPr>
            <w:tcW w:w="2675" w:type="dxa"/>
            <w:vAlign w:val="center"/>
          </w:tcPr>
          <w:p>
            <w:pPr>
              <w:widowControl/>
              <w:rPr>
                <w:kern w:val="0"/>
                <w:sz w:val="20"/>
                <w:lang w:eastAsia="zh-TW"/>
              </w:rPr>
            </w:pPr>
            <w:r>
              <w:rPr>
                <w:rFonts w:hint="eastAsia"/>
                <w:kern w:val="0"/>
                <w:sz w:val="20"/>
                <w:lang w:eastAsia="zh-TW"/>
              </w:rPr>
              <w:t>經營活動產生的現金流量淨額</w:t>
            </w:r>
          </w:p>
        </w:tc>
        <w:tc>
          <w:tcPr>
            <w:tcW w:w="1630" w:type="dxa"/>
            <w:vAlign w:val="center"/>
          </w:tcPr>
          <w:p>
            <w:pPr>
              <w:jc w:val="right"/>
              <w:rPr>
                <w:sz w:val="20"/>
              </w:rPr>
            </w:pPr>
            <w:r>
              <w:rPr>
                <w:sz w:val="20"/>
              </w:rPr>
              <w:t>389,971,809.35</w:t>
            </w:r>
          </w:p>
        </w:tc>
        <w:tc>
          <w:tcPr>
            <w:tcW w:w="1630" w:type="dxa"/>
            <w:vAlign w:val="center"/>
          </w:tcPr>
          <w:p>
            <w:pPr>
              <w:jc w:val="right"/>
              <w:rPr>
                <w:sz w:val="20"/>
              </w:rPr>
            </w:pPr>
            <w:r>
              <w:rPr>
                <w:sz w:val="20"/>
              </w:rPr>
              <w:t>439,348,332.79</w:t>
            </w:r>
          </w:p>
        </w:tc>
        <w:tc>
          <w:tcPr>
            <w:tcW w:w="1785" w:type="dxa"/>
            <w:vAlign w:val="center"/>
          </w:tcPr>
          <w:p>
            <w:pPr>
              <w:jc w:val="right"/>
              <w:rPr>
                <w:sz w:val="20"/>
              </w:rPr>
            </w:pPr>
            <w:r>
              <w:rPr>
                <w:rFonts w:hint="eastAsia"/>
                <w:sz w:val="20"/>
              </w:rPr>
              <w:t>（</w:t>
            </w:r>
            <w:r>
              <w:rPr>
                <w:sz w:val="20"/>
              </w:rPr>
              <w:t>11.24%）</w:t>
            </w:r>
          </w:p>
        </w:tc>
        <w:tc>
          <w:tcPr>
            <w:tcW w:w="1785" w:type="dxa"/>
            <w:vAlign w:val="bottom"/>
          </w:tcPr>
          <w:p>
            <w:pPr>
              <w:jc w:val="right"/>
            </w:pPr>
            <w:r>
              <w:rPr>
                <w:sz w:val="20"/>
              </w:rPr>
              <w:t>348,636,176.12</w:t>
            </w:r>
          </w:p>
        </w:tc>
      </w:tr>
      <w:bookmarkEnd w:id="1"/>
      <w:bookmarkEnd w:id="2"/>
      <w:bookmarkEnd w:id="3"/>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rPr>
          <w:jc w:val="center"/>
        </w:trPr>
        <w:tc>
          <w:tcPr>
            <w:tcW w:w="2675" w:type="dxa"/>
            <w:vAlign w:val="center"/>
          </w:tcPr>
          <w:p>
            <w:pPr>
              <w:widowControl/>
              <w:rPr>
                <w:kern w:val="0"/>
                <w:sz w:val="20"/>
              </w:rPr>
            </w:pPr>
            <w:r>
              <w:rPr>
                <w:rFonts w:hint="eastAsia"/>
                <w:kern w:val="0"/>
                <w:sz w:val="20"/>
              </w:rPr>
              <w:t>基本每股收益（元</w:t>
            </w:r>
            <w:r>
              <w:rPr>
                <w:kern w:val="0"/>
                <w:sz w:val="20"/>
              </w:rPr>
              <w:t>/</w:t>
            </w:r>
            <w:r>
              <w:rPr>
                <w:rFonts w:hint="eastAsia"/>
                <w:kern w:val="0"/>
                <w:sz w:val="20"/>
              </w:rPr>
              <w:t>股）</w:t>
            </w:r>
          </w:p>
        </w:tc>
        <w:tc>
          <w:tcPr>
            <w:tcW w:w="1630" w:type="dxa"/>
            <w:vAlign w:val="center"/>
          </w:tcPr>
          <w:p>
            <w:pPr>
              <w:jc w:val="right"/>
              <w:rPr>
                <w:sz w:val="20"/>
              </w:rPr>
            </w:pPr>
            <w:r>
              <w:rPr>
                <w:sz w:val="20"/>
              </w:rPr>
              <w:t>0.45</w:t>
            </w:r>
          </w:p>
        </w:tc>
        <w:tc>
          <w:tcPr>
            <w:tcW w:w="1630" w:type="dxa"/>
            <w:vAlign w:val="center"/>
          </w:tcPr>
          <w:p>
            <w:pPr>
              <w:jc w:val="right"/>
              <w:rPr>
                <w:sz w:val="20"/>
              </w:rPr>
            </w:pPr>
            <w:r>
              <w:rPr>
                <w:sz w:val="20"/>
              </w:rPr>
              <w:t>0.27</w:t>
            </w:r>
          </w:p>
        </w:tc>
        <w:tc>
          <w:tcPr>
            <w:tcW w:w="1785" w:type="dxa"/>
            <w:vAlign w:val="center"/>
          </w:tcPr>
          <w:p>
            <w:pPr>
              <w:jc w:val="right"/>
              <w:rPr>
                <w:sz w:val="20"/>
              </w:rPr>
            </w:pPr>
            <w:r>
              <w:rPr>
                <w:sz w:val="20"/>
              </w:rPr>
              <w:t>66.67%</w:t>
            </w:r>
          </w:p>
        </w:tc>
        <w:tc>
          <w:tcPr>
            <w:tcW w:w="1785" w:type="dxa"/>
            <w:vAlign w:val="bottom"/>
          </w:tcPr>
          <w:p>
            <w:pPr>
              <w:jc w:val="right"/>
            </w:pPr>
            <w:r>
              <w:rPr>
                <w:sz w:val="20"/>
              </w:rPr>
              <w:t>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rPr>
          <w:trHeight w:val="80" w:hRule="atLeast"/>
          <w:jc w:val="center"/>
        </w:trPr>
        <w:tc>
          <w:tcPr>
            <w:tcW w:w="2675" w:type="dxa"/>
            <w:vAlign w:val="center"/>
          </w:tcPr>
          <w:p>
            <w:pPr>
              <w:widowControl/>
              <w:rPr>
                <w:kern w:val="0"/>
                <w:sz w:val="20"/>
                <w:lang w:eastAsia="zh-TW"/>
              </w:rPr>
            </w:pPr>
            <w:r>
              <w:rPr>
                <w:rFonts w:hint="eastAsia"/>
                <w:kern w:val="0"/>
                <w:sz w:val="20"/>
                <w:lang w:eastAsia="zh-TW"/>
              </w:rPr>
              <w:t>稀釋每股收益（元</w:t>
            </w:r>
            <w:r>
              <w:rPr>
                <w:kern w:val="0"/>
                <w:sz w:val="20"/>
                <w:lang w:eastAsia="zh-TW"/>
              </w:rPr>
              <w:t>/</w:t>
            </w:r>
            <w:r>
              <w:rPr>
                <w:rFonts w:hint="eastAsia"/>
                <w:kern w:val="0"/>
                <w:sz w:val="20"/>
                <w:lang w:eastAsia="zh-TW"/>
              </w:rPr>
              <w:t>股）</w:t>
            </w:r>
          </w:p>
        </w:tc>
        <w:tc>
          <w:tcPr>
            <w:tcW w:w="1630" w:type="dxa"/>
            <w:vAlign w:val="center"/>
          </w:tcPr>
          <w:p>
            <w:pPr>
              <w:jc w:val="right"/>
              <w:rPr>
                <w:sz w:val="20"/>
              </w:rPr>
            </w:pPr>
            <w:r>
              <w:rPr>
                <w:sz w:val="20"/>
              </w:rPr>
              <w:t>0.45</w:t>
            </w:r>
          </w:p>
        </w:tc>
        <w:tc>
          <w:tcPr>
            <w:tcW w:w="1630" w:type="dxa"/>
            <w:vAlign w:val="center"/>
          </w:tcPr>
          <w:p>
            <w:pPr>
              <w:jc w:val="right"/>
              <w:rPr>
                <w:sz w:val="20"/>
              </w:rPr>
            </w:pPr>
            <w:r>
              <w:rPr>
                <w:sz w:val="20"/>
              </w:rPr>
              <w:t>0.27</w:t>
            </w:r>
          </w:p>
        </w:tc>
        <w:tc>
          <w:tcPr>
            <w:tcW w:w="1785" w:type="dxa"/>
            <w:vAlign w:val="center"/>
          </w:tcPr>
          <w:p>
            <w:pPr>
              <w:jc w:val="right"/>
              <w:rPr>
                <w:sz w:val="20"/>
              </w:rPr>
            </w:pPr>
            <w:r>
              <w:rPr>
                <w:sz w:val="20"/>
              </w:rPr>
              <w:t>66.67%</w:t>
            </w:r>
          </w:p>
        </w:tc>
        <w:tc>
          <w:tcPr>
            <w:tcW w:w="1785" w:type="dxa"/>
            <w:vAlign w:val="bottom"/>
          </w:tcPr>
          <w:p>
            <w:pPr>
              <w:jc w:val="right"/>
            </w:pPr>
            <w:r>
              <w:rPr>
                <w:sz w:val="20"/>
              </w:rPr>
              <w:t>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rPr>
          <w:jc w:val="center"/>
        </w:trPr>
        <w:tc>
          <w:tcPr>
            <w:tcW w:w="2675" w:type="dxa"/>
            <w:vAlign w:val="center"/>
          </w:tcPr>
          <w:p>
            <w:pPr>
              <w:widowControl/>
              <w:rPr>
                <w:kern w:val="0"/>
                <w:sz w:val="20"/>
                <w:lang w:eastAsia="zh-TW"/>
              </w:rPr>
            </w:pPr>
            <w:r>
              <w:rPr>
                <w:rFonts w:hint="eastAsia"/>
                <w:kern w:val="0"/>
                <w:sz w:val="20"/>
                <w:lang w:eastAsia="zh-TW"/>
              </w:rPr>
              <w:t>加權平均淨資產收益率</w:t>
            </w:r>
            <w:r>
              <w:rPr>
                <w:rFonts w:cs="宋体"/>
                <w:kern w:val="0"/>
                <w:sz w:val="20"/>
                <w:lang w:eastAsia="zh-TW"/>
              </w:rPr>
              <w:t>%</w:t>
            </w:r>
          </w:p>
        </w:tc>
        <w:tc>
          <w:tcPr>
            <w:tcW w:w="1630" w:type="dxa"/>
            <w:vAlign w:val="center"/>
          </w:tcPr>
          <w:p>
            <w:pPr>
              <w:jc w:val="right"/>
              <w:rPr>
                <w:sz w:val="20"/>
              </w:rPr>
            </w:pPr>
            <w:r>
              <w:rPr>
                <w:sz w:val="20"/>
              </w:rPr>
              <w:t>9.70%</w:t>
            </w:r>
          </w:p>
        </w:tc>
        <w:tc>
          <w:tcPr>
            <w:tcW w:w="1630" w:type="dxa"/>
            <w:vAlign w:val="center"/>
          </w:tcPr>
          <w:p>
            <w:pPr>
              <w:jc w:val="right"/>
              <w:rPr>
                <w:sz w:val="20"/>
              </w:rPr>
            </w:pPr>
            <w:r>
              <w:rPr>
                <w:sz w:val="20"/>
              </w:rPr>
              <w:t>6.31%</w:t>
            </w:r>
          </w:p>
        </w:tc>
        <w:tc>
          <w:tcPr>
            <w:tcW w:w="1785" w:type="dxa"/>
            <w:vAlign w:val="center"/>
          </w:tcPr>
          <w:p>
            <w:pPr>
              <w:jc w:val="right"/>
              <w:rPr>
                <w:sz w:val="20"/>
              </w:rPr>
            </w:pPr>
            <w:r>
              <w:rPr>
                <w:rFonts w:hint="eastAsia"/>
                <w:sz w:val="20"/>
              </w:rPr>
              <w:t>上升</w:t>
            </w:r>
            <w:r>
              <w:rPr>
                <w:sz w:val="20"/>
              </w:rPr>
              <w:t>3.39個百分點</w:t>
            </w:r>
          </w:p>
        </w:tc>
        <w:tc>
          <w:tcPr>
            <w:tcW w:w="1785" w:type="dxa"/>
            <w:vAlign w:val="bottom"/>
          </w:tcPr>
          <w:p>
            <w:pPr>
              <w:jc w:val="right"/>
            </w:pPr>
            <w:r>
              <w:rPr>
                <w:sz w:val="20"/>
              </w:rPr>
              <w:t>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rPr>
          <w:jc w:val="center"/>
        </w:trPr>
        <w:tc>
          <w:tcPr>
            <w:tcW w:w="2675" w:type="dxa"/>
            <w:vAlign w:val="center"/>
          </w:tcPr>
          <w:p>
            <w:pPr>
              <w:widowControl/>
              <w:rPr>
                <w:rFonts w:cs="宋体"/>
                <w:kern w:val="0"/>
                <w:sz w:val="20"/>
                <w:lang w:eastAsia="zh-TW"/>
              </w:rPr>
            </w:pPr>
          </w:p>
        </w:tc>
        <w:tc>
          <w:tcPr>
            <w:tcW w:w="1630" w:type="dxa"/>
            <w:vAlign w:val="center"/>
          </w:tcPr>
          <w:p>
            <w:pPr>
              <w:jc w:val="right"/>
              <w:rPr>
                <w:sz w:val="20"/>
                <w:lang w:eastAsia="zh-TW"/>
              </w:rPr>
            </w:pPr>
          </w:p>
        </w:tc>
        <w:tc>
          <w:tcPr>
            <w:tcW w:w="1630" w:type="dxa"/>
            <w:vAlign w:val="center"/>
          </w:tcPr>
          <w:p>
            <w:pPr>
              <w:jc w:val="right"/>
              <w:rPr>
                <w:sz w:val="20"/>
                <w:lang w:eastAsia="zh-TW"/>
              </w:rPr>
            </w:pPr>
          </w:p>
        </w:tc>
        <w:tc>
          <w:tcPr>
            <w:tcW w:w="1785" w:type="dxa"/>
            <w:vAlign w:val="center"/>
          </w:tcPr>
          <w:p>
            <w:pPr>
              <w:jc w:val="right"/>
              <w:rPr>
                <w:sz w:val="20"/>
                <w:lang w:eastAsia="zh-TW"/>
              </w:rPr>
            </w:pPr>
          </w:p>
        </w:tc>
        <w:tc>
          <w:tcPr>
            <w:tcW w:w="1785" w:type="dxa"/>
            <w:vAlign w:val="bottom"/>
          </w:tcPr>
          <w:p>
            <w:pPr>
              <w:jc w:val="right"/>
              <w:rPr>
                <w:sz w:val="20"/>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rPr>
          <w:trHeight w:val="480" w:hRule="atLeast"/>
          <w:jc w:val="center"/>
        </w:trPr>
        <w:tc>
          <w:tcPr>
            <w:tcW w:w="2675" w:type="dxa"/>
            <w:vAlign w:val="center"/>
          </w:tcPr>
          <w:p>
            <w:pPr>
              <w:widowControl/>
              <w:rPr>
                <w:kern w:val="0"/>
                <w:sz w:val="20"/>
              </w:rPr>
            </w:pPr>
          </w:p>
        </w:tc>
        <w:tc>
          <w:tcPr>
            <w:tcW w:w="1630" w:type="dxa"/>
            <w:vAlign w:val="center"/>
          </w:tcPr>
          <w:p>
            <w:pPr>
              <w:jc w:val="right"/>
              <w:rPr>
                <w:sz w:val="20"/>
              </w:rPr>
            </w:pPr>
            <w:r>
              <w:rPr>
                <w:sz w:val="20"/>
              </w:rPr>
              <w:t>2017年12月31日</w:t>
            </w:r>
          </w:p>
        </w:tc>
        <w:tc>
          <w:tcPr>
            <w:tcW w:w="1630" w:type="dxa"/>
            <w:vAlign w:val="center"/>
          </w:tcPr>
          <w:p>
            <w:pPr>
              <w:jc w:val="right"/>
              <w:rPr>
                <w:sz w:val="20"/>
              </w:rPr>
            </w:pPr>
            <w:r>
              <w:rPr>
                <w:sz w:val="20"/>
              </w:rPr>
              <w:t>2016</w:t>
            </w:r>
            <w:r>
              <w:rPr>
                <w:rFonts w:hint="eastAsia"/>
                <w:sz w:val="20"/>
              </w:rPr>
              <w:t>年</w:t>
            </w:r>
            <w:r>
              <w:rPr>
                <w:sz w:val="20"/>
              </w:rPr>
              <w:t>12</w:t>
            </w:r>
            <w:r>
              <w:rPr>
                <w:rFonts w:hint="eastAsia"/>
                <w:sz w:val="20"/>
              </w:rPr>
              <w:t>月</w:t>
            </w:r>
            <w:r>
              <w:rPr>
                <w:sz w:val="20"/>
              </w:rPr>
              <w:t>31</w:t>
            </w:r>
            <w:r>
              <w:rPr>
                <w:rFonts w:hint="eastAsia"/>
                <w:sz w:val="20"/>
              </w:rPr>
              <w:t>日</w:t>
            </w:r>
          </w:p>
        </w:tc>
        <w:tc>
          <w:tcPr>
            <w:tcW w:w="1785" w:type="dxa"/>
            <w:vAlign w:val="center"/>
          </w:tcPr>
          <w:p>
            <w:pPr>
              <w:jc w:val="right"/>
              <w:rPr>
                <w:sz w:val="20"/>
              </w:rPr>
            </w:pPr>
            <w:r>
              <w:rPr>
                <w:rFonts w:hint="eastAsia"/>
                <w:sz w:val="20"/>
              </w:rPr>
              <w:t>本年末比上年末增減</w:t>
            </w:r>
          </w:p>
        </w:tc>
        <w:tc>
          <w:tcPr>
            <w:tcW w:w="1785" w:type="dxa"/>
            <w:vAlign w:val="center"/>
          </w:tcPr>
          <w:p>
            <w:pPr>
              <w:jc w:val="center"/>
            </w:pPr>
            <w:r>
              <w:rPr>
                <w:sz w:val="18"/>
              </w:rPr>
              <w:t>2015</w:t>
            </w:r>
            <w:r>
              <w:rPr>
                <w:rFonts w:hint="eastAsia"/>
                <w:sz w:val="18"/>
              </w:rPr>
              <w:t>年</w:t>
            </w:r>
            <w:r>
              <w:rPr>
                <w:sz w:val="18"/>
              </w:rPr>
              <w:t>12</w:t>
            </w:r>
            <w:r>
              <w:rPr>
                <w:rFonts w:hint="eastAsia"/>
                <w:sz w:val="18"/>
              </w:rPr>
              <w:t>月</w:t>
            </w:r>
            <w:r>
              <w:rPr>
                <w:sz w:val="18"/>
              </w:rPr>
              <w:t>31</w:t>
            </w:r>
            <w:r>
              <w:rPr>
                <w:rFonts w:hint="eastAsia"/>
                <w:sz w:val="18"/>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rPr>
          <w:jc w:val="center"/>
        </w:trPr>
        <w:tc>
          <w:tcPr>
            <w:tcW w:w="2675" w:type="dxa"/>
            <w:vAlign w:val="center"/>
          </w:tcPr>
          <w:p>
            <w:pPr>
              <w:widowControl/>
              <w:rPr>
                <w:kern w:val="0"/>
                <w:sz w:val="20"/>
              </w:rPr>
            </w:pPr>
            <w:r>
              <w:rPr>
                <w:rFonts w:hint="eastAsia"/>
                <w:kern w:val="0"/>
                <w:sz w:val="20"/>
              </w:rPr>
              <w:t>總資產</w:t>
            </w:r>
          </w:p>
        </w:tc>
        <w:tc>
          <w:tcPr>
            <w:tcW w:w="1630" w:type="dxa"/>
            <w:vAlign w:val="center"/>
          </w:tcPr>
          <w:p>
            <w:pPr>
              <w:jc w:val="right"/>
              <w:rPr>
                <w:sz w:val="20"/>
              </w:rPr>
            </w:pPr>
            <w:r>
              <w:rPr>
                <w:sz w:val="20"/>
              </w:rPr>
              <w:t>5,273,647,124.63</w:t>
            </w:r>
          </w:p>
        </w:tc>
        <w:tc>
          <w:tcPr>
            <w:tcW w:w="1630" w:type="dxa"/>
            <w:vAlign w:val="center"/>
          </w:tcPr>
          <w:p>
            <w:pPr>
              <w:jc w:val="right"/>
              <w:rPr>
                <w:sz w:val="20"/>
              </w:rPr>
            </w:pPr>
            <w:r>
              <w:rPr>
                <w:sz w:val="20"/>
              </w:rPr>
              <w:t>4,722,785,963.84</w:t>
            </w:r>
          </w:p>
        </w:tc>
        <w:tc>
          <w:tcPr>
            <w:tcW w:w="1785" w:type="dxa"/>
            <w:vAlign w:val="center"/>
          </w:tcPr>
          <w:p>
            <w:pPr>
              <w:jc w:val="right"/>
              <w:rPr>
                <w:sz w:val="20"/>
              </w:rPr>
            </w:pPr>
            <w:r>
              <w:rPr>
                <w:sz w:val="20"/>
              </w:rPr>
              <w:t>11.66%</w:t>
            </w:r>
          </w:p>
        </w:tc>
        <w:tc>
          <w:tcPr>
            <w:tcW w:w="1785" w:type="dxa"/>
            <w:vAlign w:val="center"/>
          </w:tcPr>
          <w:p>
            <w:pPr>
              <w:jc w:val="right"/>
            </w:pPr>
            <w:r>
              <w:rPr>
                <w:sz w:val="20"/>
              </w:rPr>
              <w:t>4,492,122,436.63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rPr>
          <w:jc w:val="center"/>
        </w:trPr>
        <w:tc>
          <w:tcPr>
            <w:tcW w:w="2675" w:type="dxa"/>
            <w:vAlign w:val="center"/>
          </w:tcPr>
          <w:p>
            <w:pPr>
              <w:widowControl/>
              <w:rPr>
                <w:kern w:val="0"/>
                <w:sz w:val="20"/>
              </w:rPr>
            </w:pPr>
            <w:r>
              <w:rPr>
                <w:rFonts w:hint="eastAsia"/>
                <w:kern w:val="0"/>
                <w:sz w:val="20"/>
              </w:rPr>
              <w:t>總負債</w:t>
            </w:r>
          </w:p>
        </w:tc>
        <w:tc>
          <w:tcPr>
            <w:tcW w:w="1630" w:type="dxa"/>
            <w:vAlign w:val="center"/>
          </w:tcPr>
          <w:p>
            <w:pPr>
              <w:jc w:val="right"/>
              <w:rPr>
                <w:sz w:val="20"/>
              </w:rPr>
            </w:pPr>
            <w:r>
              <w:rPr>
                <w:sz w:val="20"/>
              </w:rPr>
              <w:t>2,694,193,743.82</w:t>
            </w:r>
          </w:p>
        </w:tc>
        <w:tc>
          <w:tcPr>
            <w:tcW w:w="1630" w:type="dxa"/>
            <w:vAlign w:val="center"/>
          </w:tcPr>
          <w:p>
            <w:pPr>
              <w:jc w:val="right"/>
              <w:rPr>
                <w:sz w:val="20"/>
              </w:rPr>
            </w:pPr>
            <w:r>
              <w:rPr>
                <w:sz w:val="20"/>
              </w:rPr>
              <w:t>2,643,478,538.19</w:t>
            </w:r>
          </w:p>
        </w:tc>
        <w:tc>
          <w:tcPr>
            <w:tcW w:w="1785" w:type="dxa"/>
            <w:vAlign w:val="center"/>
          </w:tcPr>
          <w:p>
            <w:pPr>
              <w:jc w:val="right"/>
              <w:rPr>
                <w:sz w:val="20"/>
              </w:rPr>
            </w:pPr>
            <w:r>
              <w:rPr>
                <w:sz w:val="20"/>
              </w:rPr>
              <w:t>1.92%</w:t>
            </w:r>
          </w:p>
        </w:tc>
        <w:tc>
          <w:tcPr>
            <w:tcW w:w="1785" w:type="dxa"/>
            <w:vAlign w:val="center"/>
          </w:tcPr>
          <w:p>
            <w:pPr>
              <w:jc w:val="right"/>
            </w:pPr>
            <w:r>
              <w:rPr>
                <w:sz w:val="20"/>
              </w:rPr>
              <w:t>2,508,040,118.23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rPr>
          <w:jc w:val="center"/>
        </w:trPr>
        <w:tc>
          <w:tcPr>
            <w:tcW w:w="2675" w:type="dxa"/>
            <w:vAlign w:val="center"/>
          </w:tcPr>
          <w:p>
            <w:pPr>
              <w:widowControl/>
              <w:rPr>
                <w:kern w:val="0"/>
                <w:sz w:val="20"/>
              </w:rPr>
            </w:pPr>
            <w:r>
              <w:rPr>
                <w:rFonts w:hint="eastAsia"/>
                <w:kern w:val="0"/>
                <w:sz w:val="20"/>
              </w:rPr>
              <w:t>少數股東權益</w:t>
            </w:r>
          </w:p>
        </w:tc>
        <w:tc>
          <w:tcPr>
            <w:tcW w:w="1630" w:type="dxa"/>
            <w:vAlign w:val="center"/>
          </w:tcPr>
          <w:p>
            <w:pPr>
              <w:jc w:val="right"/>
              <w:rPr>
                <w:sz w:val="20"/>
              </w:rPr>
            </w:pPr>
            <w:r>
              <w:rPr>
                <w:sz w:val="20"/>
              </w:rPr>
              <w:t>99,429,604.22</w:t>
            </w:r>
          </w:p>
        </w:tc>
        <w:tc>
          <w:tcPr>
            <w:tcW w:w="1630" w:type="dxa"/>
            <w:vAlign w:val="center"/>
          </w:tcPr>
          <w:p>
            <w:pPr>
              <w:jc w:val="right"/>
              <w:rPr>
                <w:sz w:val="20"/>
              </w:rPr>
            </w:pPr>
            <w:r>
              <w:rPr>
                <w:sz w:val="20"/>
              </w:rPr>
              <w:t>90,887,601.32</w:t>
            </w:r>
          </w:p>
        </w:tc>
        <w:tc>
          <w:tcPr>
            <w:tcW w:w="1785" w:type="dxa"/>
            <w:vAlign w:val="center"/>
          </w:tcPr>
          <w:p>
            <w:pPr>
              <w:jc w:val="right"/>
              <w:rPr>
                <w:sz w:val="20"/>
              </w:rPr>
            </w:pPr>
            <w:r>
              <w:rPr>
                <w:sz w:val="20"/>
              </w:rPr>
              <w:t>9.40%</w:t>
            </w:r>
          </w:p>
        </w:tc>
        <w:tc>
          <w:tcPr>
            <w:tcW w:w="1785" w:type="dxa"/>
            <w:vAlign w:val="center"/>
          </w:tcPr>
          <w:p>
            <w:pPr>
              <w:jc w:val="right"/>
            </w:pPr>
            <w:r>
              <w:rPr>
                <w:sz w:val="20"/>
              </w:rPr>
              <w:t>99,825,757.46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rPr>
          <w:jc w:val="center"/>
        </w:trPr>
        <w:tc>
          <w:tcPr>
            <w:tcW w:w="2675" w:type="dxa"/>
            <w:vAlign w:val="center"/>
          </w:tcPr>
          <w:p>
            <w:pPr>
              <w:widowControl/>
              <w:jc w:val="left"/>
              <w:rPr>
                <w:kern w:val="0"/>
                <w:sz w:val="20"/>
                <w:lang w:eastAsia="zh-TW"/>
              </w:rPr>
            </w:pPr>
            <w:r>
              <w:rPr>
                <w:rFonts w:hint="eastAsia"/>
                <w:kern w:val="0"/>
                <w:sz w:val="20"/>
                <w:lang w:eastAsia="zh-TW"/>
              </w:rPr>
              <w:t>歸屬於</w:t>
            </w:r>
            <w:r>
              <w:rPr>
                <w:rFonts w:hint="eastAsia" w:cs="宋体"/>
                <w:kern w:val="0"/>
                <w:sz w:val="20"/>
                <w:lang w:eastAsia="zh-TW"/>
              </w:rPr>
              <w:t>上市公司</w:t>
            </w:r>
            <w:r>
              <w:rPr>
                <w:rFonts w:hint="eastAsia"/>
                <w:kern w:val="0"/>
                <w:sz w:val="20"/>
                <w:lang w:eastAsia="zh-TW"/>
              </w:rPr>
              <w:t>股東的淨資產</w:t>
            </w:r>
          </w:p>
        </w:tc>
        <w:tc>
          <w:tcPr>
            <w:tcW w:w="1630" w:type="dxa"/>
            <w:vAlign w:val="center"/>
          </w:tcPr>
          <w:p>
            <w:pPr>
              <w:jc w:val="right"/>
              <w:rPr>
                <w:sz w:val="20"/>
              </w:rPr>
            </w:pPr>
            <w:r>
              <w:rPr>
                <w:sz w:val="20"/>
              </w:rPr>
              <w:t>2,480,023,776.59</w:t>
            </w:r>
          </w:p>
        </w:tc>
        <w:tc>
          <w:tcPr>
            <w:tcW w:w="1630" w:type="dxa"/>
            <w:vAlign w:val="center"/>
          </w:tcPr>
          <w:p>
            <w:pPr>
              <w:jc w:val="right"/>
              <w:rPr>
                <w:sz w:val="20"/>
              </w:rPr>
            </w:pPr>
            <w:r>
              <w:rPr>
                <w:sz w:val="20"/>
              </w:rPr>
              <w:t>1,988,419,824.33</w:t>
            </w:r>
          </w:p>
        </w:tc>
        <w:tc>
          <w:tcPr>
            <w:tcW w:w="1785" w:type="dxa"/>
            <w:vAlign w:val="center"/>
          </w:tcPr>
          <w:p>
            <w:pPr>
              <w:jc w:val="right"/>
              <w:rPr>
                <w:sz w:val="20"/>
              </w:rPr>
            </w:pPr>
            <w:r>
              <w:rPr>
                <w:sz w:val="20"/>
              </w:rPr>
              <w:t>24.72%</w:t>
            </w:r>
          </w:p>
        </w:tc>
        <w:tc>
          <w:tcPr>
            <w:tcW w:w="1785" w:type="dxa"/>
            <w:vAlign w:val="center"/>
          </w:tcPr>
          <w:p>
            <w:pPr>
              <w:jc w:val="right"/>
            </w:pPr>
            <w:r>
              <w:rPr>
                <w:sz w:val="20"/>
              </w:rPr>
              <w:t>1,884,256,560.94</w:t>
            </w:r>
          </w:p>
        </w:tc>
      </w:tr>
      <w:bookmarkEnd w:id="0"/>
    </w:tbl>
    <w:p>
      <w:pPr>
        <w:pStyle w:val="24"/>
        <w:rPr>
          <w:sz w:val="22"/>
          <w:lang w:eastAsia="zh-TW"/>
        </w:rPr>
      </w:pPr>
      <w:r>
        <w:rPr>
          <w:rFonts w:ascii="Times New Roman" w:hAnsi="Times New Roman"/>
        </w:rPr>
        <w:br w:type="page"/>
      </w:r>
      <w:r>
        <w:rPr>
          <w:rFonts w:hint="eastAsia"/>
          <w:sz w:val="22"/>
          <w:lang w:eastAsia="zh-TW"/>
        </w:rPr>
        <w:t>注：按香港普遍採納之會計原則與《中國企業會計準則》差異調整情況如下：</w:t>
      </w:r>
    </w:p>
    <w:p>
      <w:pPr>
        <w:pStyle w:val="24"/>
        <w:spacing w:line="320" w:lineRule="exact"/>
        <w:ind w:right="270"/>
        <w:jc w:val="center"/>
        <w:rPr>
          <w:rFonts w:ascii="Times New Roman" w:hAnsi="Times New Roman"/>
          <w:sz w:val="18"/>
        </w:rPr>
      </w:pPr>
      <w:r>
        <w:rPr>
          <w:rFonts w:ascii="Times New Roman" w:hAnsi="Times New Roman"/>
          <w:sz w:val="18"/>
          <w:lang w:eastAsia="zh-TW"/>
        </w:rPr>
        <w:t xml:space="preserve">                                                                  </w:t>
      </w:r>
      <w:r>
        <w:rPr>
          <w:rFonts w:ascii="Times New Roman" w:hAnsi="Times New Roman"/>
          <w:sz w:val="18"/>
        </w:rPr>
        <w:t>單位：人民幣元</w:t>
      </w:r>
    </w:p>
    <w:tbl>
      <w:tblPr>
        <w:tblW w:w="86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093"/>
        <w:gridCol w:w="1559"/>
        <w:gridCol w:w="1510"/>
        <w:gridCol w:w="1731"/>
        <w:gridCol w:w="17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300" w:hRule="atLeast"/>
        </w:trPr>
        <w:tc>
          <w:tcPr>
            <w:tcW w:w="2093" w:type="dxa"/>
            <w:vMerge w:val="restart"/>
            <w:vAlign w:val="center"/>
          </w:tcPr>
          <w:p>
            <w:pPr>
              <w:rPr>
                <w:b/>
              </w:rPr>
            </w:pPr>
            <w:r>
              <w:rPr>
                <w:rFonts w:hint="eastAsia"/>
                <w:b/>
              </w:rPr>
              <w:t>項目</w:t>
            </w:r>
          </w:p>
        </w:tc>
        <w:tc>
          <w:tcPr>
            <w:tcW w:w="3069" w:type="dxa"/>
            <w:gridSpan w:val="2"/>
            <w:vAlign w:val="center"/>
          </w:tcPr>
          <w:p>
            <w:pPr>
              <w:jc w:val="center"/>
              <w:rPr>
                <w:b/>
              </w:rPr>
            </w:pPr>
            <w:r>
              <w:rPr>
                <w:rFonts w:hint="eastAsia"/>
                <w:b/>
              </w:rPr>
              <w:t>淨利潤</w:t>
            </w:r>
          </w:p>
        </w:tc>
        <w:tc>
          <w:tcPr>
            <w:tcW w:w="3450" w:type="dxa"/>
            <w:gridSpan w:val="2"/>
            <w:vAlign w:val="center"/>
          </w:tcPr>
          <w:p>
            <w:pPr>
              <w:jc w:val="center"/>
              <w:rPr>
                <w:b/>
              </w:rPr>
            </w:pPr>
            <w:r>
              <w:rPr>
                <w:rFonts w:hint="eastAsia"/>
                <w:b/>
              </w:rPr>
              <w:t>淨資產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285" w:hRule="atLeast"/>
        </w:trPr>
        <w:tc>
          <w:tcPr>
            <w:tcW w:w="2093" w:type="dxa"/>
            <w:vMerge w:val="continue"/>
            <w:vAlign w:val="center"/>
          </w:tcPr>
          <w:p>
            <w:pPr>
              <w:rPr>
                <w:b/>
              </w:rPr>
            </w:pPr>
          </w:p>
        </w:tc>
        <w:tc>
          <w:tcPr>
            <w:tcW w:w="1559" w:type="dxa"/>
            <w:vAlign w:val="center"/>
          </w:tcPr>
          <w:p>
            <w:pPr>
              <w:jc w:val="center"/>
              <w:rPr>
                <w:b/>
              </w:rPr>
            </w:pPr>
            <w:r>
              <w:rPr>
                <w:b/>
              </w:rPr>
              <w:t>2017年</w:t>
            </w:r>
          </w:p>
        </w:tc>
        <w:tc>
          <w:tcPr>
            <w:tcW w:w="1510" w:type="dxa"/>
            <w:vAlign w:val="center"/>
          </w:tcPr>
          <w:p>
            <w:pPr>
              <w:jc w:val="center"/>
              <w:rPr>
                <w:b/>
              </w:rPr>
            </w:pPr>
            <w:r>
              <w:rPr>
                <w:b/>
              </w:rPr>
              <w:t>2016</w:t>
            </w:r>
            <w:r>
              <w:rPr>
                <w:rFonts w:hint="eastAsia"/>
                <w:b/>
              </w:rPr>
              <w:t>年</w:t>
            </w:r>
          </w:p>
        </w:tc>
        <w:tc>
          <w:tcPr>
            <w:tcW w:w="1731" w:type="dxa"/>
            <w:vAlign w:val="center"/>
          </w:tcPr>
          <w:p>
            <w:pPr>
              <w:jc w:val="center"/>
              <w:rPr>
                <w:b/>
              </w:rPr>
            </w:pPr>
            <w:r>
              <w:rPr>
                <w:b/>
              </w:rPr>
              <w:t>2017年</w:t>
            </w:r>
          </w:p>
        </w:tc>
        <w:tc>
          <w:tcPr>
            <w:tcW w:w="1719" w:type="dxa"/>
            <w:vAlign w:val="center"/>
          </w:tcPr>
          <w:p>
            <w:pPr>
              <w:jc w:val="center"/>
              <w:rPr>
                <w:b/>
              </w:rPr>
            </w:pPr>
            <w:r>
              <w:rPr>
                <w:b/>
              </w:rPr>
              <w:t>2016</w:t>
            </w:r>
            <w:r>
              <w:rPr>
                <w:rFonts w:hint="eastAsia"/>
                <w:b/>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5" w:hRule="atLeast"/>
        </w:trPr>
        <w:tc>
          <w:tcPr>
            <w:tcW w:w="2093" w:type="dxa"/>
            <w:vAlign w:val="center"/>
          </w:tcPr>
          <w:p>
            <w:pPr>
              <w:rPr>
                <w:lang w:eastAsia="zh-TW"/>
              </w:rPr>
            </w:pPr>
            <w:r>
              <w:rPr>
                <w:rFonts w:hint="eastAsia"/>
                <w:lang w:eastAsia="zh-TW"/>
              </w:rPr>
              <w:t>按香港會計原則歸屬</w:t>
            </w:r>
            <w:r>
              <w:rPr>
                <w:rFonts w:hint="eastAsia" w:cs="宋体"/>
                <w:lang w:eastAsia="zh-TW"/>
              </w:rPr>
              <w:t>母公司</w:t>
            </w:r>
          </w:p>
        </w:tc>
        <w:tc>
          <w:tcPr>
            <w:tcW w:w="1559" w:type="dxa"/>
            <w:vAlign w:val="center"/>
          </w:tcPr>
          <w:p>
            <w:pPr>
              <w:jc w:val="right"/>
              <w:rPr>
                <w:sz w:val="20"/>
              </w:rPr>
            </w:pPr>
            <w:r>
              <w:rPr>
                <w:sz w:val="20"/>
              </w:rPr>
              <w:t>208,413,675.62</w:t>
            </w:r>
          </w:p>
        </w:tc>
        <w:tc>
          <w:tcPr>
            <w:tcW w:w="1510" w:type="dxa"/>
            <w:vAlign w:val="center"/>
          </w:tcPr>
          <w:p>
            <w:pPr>
              <w:jc w:val="right"/>
              <w:rPr>
                <w:sz w:val="20"/>
              </w:rPr>
            </w:pPr>
            <w:r>
              <w:rPr>
                <w:sz w:val="20"/>
              </w:rPr>
              <w:t>121,396,175.54</w:t>
            </w:r>
          </w:p>
        </w:tc>
        <w:tc>
          <w:tcPr>
            <w:tcW w:w="1731" w:type="dxa"/>
            <w:vAlign w:val="center"/>
          </w:tcPr>
          <w:p>
            <w:pPr>
              <w:jc w:val="right"/>
              <w:rPr>
                <w:sz w:val="20"/>
              </w:rPr>
            </w:pPr>
            <w:r>
              <w:rPr>
                <w:sz w:val="20"/>
              </w:rPr>
              <w:t>2,481,902,386.05</w:t>
            </w:r>
          </w:p>
        </w:tc>
        <w:tc>
          <w:tcPr>
            <w:tcW w:w="1719" w:type="dxa"/>
            <w:vAlign w:val="center"/>
          </w:tcPr>
          <w:p>
            <w:pPr>
              <w:jc w:val="right"/>
              <w:rPr>
                <w:sz w:val="20"/>
              </w:rPr>
            </w:pPr>
            <w:r>
              <w:rPr>
                <w:sz w:val="20"/>
              </w:rPr>
              <w:t>1,991,476,665.40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2" w:hRule="atLeast"/>
        </w:trPr>
        <w:tc>
          <w:tcPr>
            <w:tcW w:w="2093" w:type="dxa"/>
            <w:vAlign w:val="center"/>
          </w:tcPr>
          <w:p>
            <w:pPr>
              <w:rPr>
                <w:rFonts w:cs="宋体"/>
                <w:lang w:eastAsia="zh-TW"/>
              </w:rPr>
            </w:pPr>
          </w:p>
          <w:p>
            <w:r>
              <w:rPr>
                <w:rFonts w:hint="eastAsia"/>
              </w:rPr>
              <w:t>差異調整：</w:t>
            </w:r>
          </w:p>
        </w:tc>
        <w:tc>
          <w:tcPr>
            <w:tcW w:w="1559" w:type="dxa"/>
            <w:vAlign w:val="center"/>
          </w:tcPr>
          <w:p>
            <w:pPr>
              <w:jc w:val="center"/>
              <w:rPr>
                <w:sz w:val="20"/>
              </w:rPr>
            </w:pPr>
          </w:p>
        </w:tc>
        <w:tc>
          <w:tcPr>
            <w:tcW w:w="1510" w:type="dxa"/>
            <w:vAlign w:val="center"/>
          </w:tcPr>
          <w:p>
            <w:pPr>
              <w:jc w:val="center"/>
              <w:rPr>
                <w:sz w:val="20"/>
              </w:rPr>
            </w:pPr>
          </w:p>
        </w:tc>
        <w:tc>
          <w:tcPr>
            <w:tcW w:w="1731" w:type="dxa"/>
            <w:vAlign w:val="center"/>
          </w:tcPr>
          <w:p>
            <w:pPr>
              <w:jc w:val="center"/>
              <w:rPr>
                <w:sz w:val="20"/>
              </w:rPr>
            </w:pPr>
          </w:p>
        </w:tc>
        <w:tc>
          <w:tcPr>
            <w:tcW w:w="1719" w:type="dxa"/>
            <w:vAlign w:val="center"/>
          </w:tcPr>
          <w:p>
            <w:pPr>
              <w:jc w:val="center"/>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2093" w:type="dxa"/>
            <w:vAlign w:val="center"/>
          </w:tcPr>
          <w:p>
            <w:pPr>
              <w:ind w:firstLine="210" w:firstLineChars="100"/>
            </w:pPr>
            <w:r>
              <w:t>1.</w:t>
            </w:r>
            <w:r>
              <w:rPr>
                <w:rFonts w:hint="eastAsia"/>
              </w:rPr>
              <w:t>教育準備金</w:t>
            </w:r>
          </w:p>
        </w:tc>
        <w:tc>
          <w:tcPr>
            <w:tcW w:w="1559" w:type="dxa"/>
            <w:vAlign w:val="center"/>
          </w:tcPr>
          <w:p>
            <w:pPr>
              <w:jc w:val="right"/>
              <w:rPr>
                <w:sz w:val="20"/>
              </w:rPr>
            </w:pPr>
            <w:r>
              <w:rPr>
                <w:sz w:val="20"/>
              </w:rPr>
              <w:t>1,386,154.83</w:t>
            </w:r>
          </w:p>
        </w:tc>
        <w:tc>
          <w:tcPr>
            <w:tcW w:w="1510" w:type="dxa"/>
            <w:vAlign w:val="center"/>
          </w:tcPr>
          <w:p>
            <w:pPr>
              <w:jc w:val="right"/>
              <w:rPr>
                <w:sz w:val="20"/>
              </w:rPr>
            </w:pPr>
            <w:r>
              <w:rPr>
                <w:sz w:val="20"/>
              </w:rPr>
              <w:t>1,029,851.93</w:t>
            </w:r>
          </w:p>
        </w:tc>
        <w:tc>
          <w:tcPr>
            <w:tcW w:w="1731" w:type="dxa"/>
            <w:vAlign w:val="center"/>
          </w:tcPr>
          <w:p>
            <w:pPr>
              <w:jc w:val="right"/>
              <w:rPr>
                <w:sz w:val="20"/>
              </w:rPr>
            </w:pPr>
            <w:r>
              <w:rPr>
                <w:rFonts w:hint="eastAsia"/>
                <w:sz w:val="20"/>
              </w:rPr>
              <w:t>（</w:t>
            </w:r>
            <w:r>
              <w:rPr>
                <w:sz w:val="20"/>
              </w:rPr>
              <w:t>2,210,128.78）</w:t>
            </w:r>
          </w:p>
        </w:tc>
        <w:tc>
          <w:tcPr>
            <w:tcW w:w="1719" w:type="dxa"/>
            <w:vAlign w:val="center"/>
          </w:tcPr>
          <w:p>
            <w:pPr>
              <w:jc w:val="right"/>
              <w:rPr>
                <w:sz w:val="20"/>
              </w:rPr>
            </w:pPr>
            <w:r>
              <w:rPr>
                <w:sz w:val="20"/>
              </w:rPr>
              <w:t>(3,596,283.61)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51" w:hRule="atLeast"/>
        </w:trPr>
        <w:tc>
          <w:tcPr>
            <w:tcW w:w="2093" w:type="dxa"/>
            <w:vAlign w:val="center"/>
          </w:tcPr>
          <w:p>
            <w:pPr>
              <w:ind w:firstLine="210" w:firstLineChars="100"/>
            </w:pPr>
            <w:r>
              <w:t>2.</w:t>
            </w:r>
            <w:r>
              <w:rPr>
                <w:rFonts w:hint="eastAsia"/>
              </w:rPr>
              <w:t>遞延所得稅影響</w:t>
            </w:r>
          </w:p>
        </w:tc>
        <w:tc>
          <w:tcPr>
            <w:tcW w:w="1559" w:type="dxa"/>
            <w:vAlign w:val="center"/>
          </w:tcPr>
          <w:p>
            <w:pPr>
              <w:jc w:val="right"/>
              <w:rPr>
                <w:sz w:val="20"/>
              </w:rPr>
            </w:pPr>
            <w:r>
              <w:rPr>
                <w:rFonts w:hint="eastAsia"/>
                <w:sz w:val="20"/>
              </w:rPr>
              <w:t>（</w:t>
            </w:r>
            <w:r>
              <w:rPr>
                <w:sz w:val="20"/>
              </w:rPr>
              <w:t>207,923.22）</w:t>
            </w:r>
          </w:p>
        </w:tc>
        <w:tc>
          <w:tcPr>
            <w:tcW w:w="1510" w:type="dxa"/>
            <w:vAlign w:val="center"/>
          </w:tcPr>
          <w:p>
            <w:pPr>
              <w:jc w:val="right"/>
              <w:rPr>
                <w:sz w:val="20"/>
              </w:rPr>
            </w:pPr>
            <w:r>
              <w:rPr>
                <w:sz w:val="20"/>
              </w:rPr>
              <w:t>(154,477.79)</w:t>
            </w:r>
          </w:p>
        </w:tc>
        <w:tc>
          <w:tcPr>
            <w:tcW w:w="1731" w:type="dxa"/>
            <w:vAlign w:val="center"/>
          </w:tcPr>
          <w:p>
            <w:pPr>
              <w:jc w:val="right"/>
              <w:rPr>
                <w:sz w:val="20"/>
              </w:rPr>
            </w:pPr>
            <w:r>
              <w:rPr>
                <w:sz w:val="20"/>
              </w:rPr>
              <w:t>331,519.32</w:t>
            </w:r>
          </w:p>
        </w:tc>
        <w:tc>
          <w:tcPr>
            <w:tcW w:w="1719" w:type="dxa"/>
            <w:vAlign w:val="center"/>
          </w:tcPr>
          <w:p>
            <w:pPr>
              <w:jc w:val="right"/>
              <w:rPr>
                <w:sz w:val="20"/>
              </w:rPr>
            </w:pPr>
            <w:r>
              <w:rPr>
                <w:sz w:val="20"/>
              </w:rPr>
              <w:t>539,442.54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2093" w:type="dxa"/>
            <w:vAlign w:val="center"/>
          </w:tcPr>
          <w:p>
            <w:r>
              <w:rPr>
                <w:rFonts w:hint="eastAsia"/>
              </w:rPr>
              <w:t>差異調整小計</w:t>
            </w:r>
          </w:p>
        </w:tc>
        <w:tc>
          <w:tcPr>
            <w:tcW w:w="1559" w:type="dxa"/>
            <w:vAlign w:val="center"/>
          </w:tcPr>
          <w:p>
            <w:pPr>
              <w:jc w:val="right"/>
              <w:rPr>
                <w:sz w:val="20"/>
              </w:rPr>
            </w:pPr>
            <w:r>
              <w:rPr>
                <w:sz w:val="20"/>
              </w:rPr>
              <w:t>1,178,231.61</w:t>
            </w:r>
          </w:p>
        </w:tc>
        <w:tc>
          <w:tcPr>
            <w:tcW w:w="1510" w:type="dxa"/>
            <w:vAlign w:val="center"/>
          </w:tcPr>
          <w:p>
            <w:pPr>
              <w:jc w:val="right"/>
              <w:rPr>
                <w:sz w:val="20"/>
              </w:rPr>
            </w:pPr>
            <w:r>
              <w:rPr>
                <w:sz w:val="20"/>
              </w:rPr>
              <w:t>875,374.14</w:t>
            </w:r>
          </w:p>
        </w:tc>
        <w:tc>
          <w:tcPr>
            <w:tcW w:w="1731" w:type="dxa"/>
            <w:vAlign w:val="center"/>
          </w:tcPr>
          <w:p>
            <w:pPr>
              <w:jc w:val="right"/>
              <w:rPr>
                <w:sz w:val="20"/>
              </w:rPr>
            </w:pPr>
            <w:r>
              <w:rPr>
                <w:rFonts w:hint="eastAsia"/>
                <w:sz w:val="20"/>
              </w:rPr>
              <w:t>（</w:t>
            </w:r>
            <w:r>
              <w:rPr>
                <w:sz w:val="20"/>
              </w:rPr>
              <w:t>1,878,609.46）</w:t>
            </w:r>
          </w:p>
        </w:tc>
        <w:tc>
          <w:tcPr>
            <w:tcW w:w="1719" w:type="dxa"/>
            <w:vAlign w:val="center"/>
          </w:tcPr>
          <w:p>
            <w:pPr>
              <w:jc w:val="right"/>
              <w:rPr>
                <w:sz w:val="20"/>
              </w:rPr>
            </w:pPr>
            <w:r>
              <w:rPr>
                <w:sz w:val="20"/>
              </w:rPr>
              <w:t>(3,056,841.07)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5" w:hRule="atLeast"/>
        </w:trPr>
        <w:tc>
          <w:tcPr>
            <w:tcW w:w="2093" w:type="dxa"/>
            <w:vAlign w:val="center"/>
          </w:tcPr>
          <w:p>
            <w:pPr>
              <w:rPr>
                <w:rFonts w:cs="宋体"/>
                <w:lang w:eastAsia="zh-TW"/>
              </w:rPr>
            </w:pPr>
          </w:p>
          <w:p>
            <w:pPr>
              <w:rPr>
                <w:lang w:eastAsia="zh-TW"/>
              </w:rPr>
            </w:pPr>
            <w:r>
              <w:rPr>
                <w:rFonts w:hint="eastAsia"/>
                <w:lang w:eastAsia="zh-TW"/>
              </w:rPr>
              <w:t>按《中國企業會計準則》歸屬</w:t>
            </w:r>
            <w:r>
              <w:rPr>
                <w:rFonts w:hint="eastAsia" w:cs="宋体"/>
                <w:lang w:eastAsia="zh-TW"/>
              </w:rPr>
              <w:t>母公司</w:t>
            </w:r>
          </w:p>
        </w:tc>
        <w:tc>
          <w:tcPr>
            <w:tcW w:w="1559" w:type="dxa"/>
            <w:vAlign w:val="center"/>
          </w:tcPr>
          <w:p>
            <w:pPr>
              <w:jc w:val="right"/>
              <w:rPr>
                <w:sz w:val="20"/>
              </w:rPr>
            </w:pPr>
            <w:r>
              <w:rPr>
                <w:sz w:val="20"/>
              </w:rPr>
              <w:t>209,591,907.23</w:t>
            </w:r>
          </w:p>
        </w:tc>
        <w:tc>
          <w:tcPr>
            <w:tcW w:w="1510" w:type="dxa"/>
            <w:vAlign w:val="center"/>
          </w:tcPr>
          <w:p>
            <w:pPr>
              <w:jc w:val="right"/>
              <w:rPr>
                <w:sz w:val="20"/>
              </w:rPr>
            </w:pPr>
            <w:r>
              <w:rPr>
                <w:sz w:val="20"/>
              </w:rPr>
              <w:t>122,271,549.68</w:t>
            </w:r>
          </w:p>
        </w:tc>
        <w:tc>
          <w:tcPr>
            <w:tcW w:w="1731" w:type="dxa"/>
            <w:vAlign w:val="center"/>
          </w:tcPr>
          <w:p>
            <w:pPr>
              <w:jc w:val="right"/>
              <w:rPr>
                <w:sz w:val="20"/>
              </w:rPr>
            </w:pPr>
            <w:r>
              <w:rPr>
                <w:sz w:val="20"/>
              </w:rPr>
              <w:t>2,480,023,776.59</w:t>
            </w:r>
          </w:p>
        </w:tc>
        <w:tc>
          <w:tcPr>
            <w:tcW w:w="1719" w:type="dxa"/>
            <w:vAlign w:val="center"/>
          </w:tcPr>
          <w:p>
            <w:pPr>
              <w:jc w:val="right"/>
              <w:rPr>
                <w:sz w:val="20"/>
              </w:rPr>
            </w:pPr>
            <w:r>
              <w:rPr>
                <w:sz w:val="20"/>
              </w:rPr>
              <w:t xml:space="preserve">1,988,419,824.33 </w:t>
            </w:r>
          </w:p>
        </w:tc>
      </w:tr>
    </w:tbl>
    <w:p>
      <w:pPr>
        <w:pStyle w:val="24"/>
        <w:rPr>
          <w:rFonts w:ascii="Times New Roman" w:hAnsi="Times New Roman"/>
        </w:rPr>
      </w:pPr>
    </w:p>
    <w:p>
      <w:pPr>
        <w:pStyle w:val="24"/>
        <w:rPr>
          <w:rFonts w:ascii="Times New Roman" w:hAnsi="Times New Roman"/>
        </w:rPr>
      </w:pPr>
    </w:p>
    <w:p>
      <w:pPr>
        <w:pStyle w:val="24"/>
        <w:rPr>
          <w:rFonts w:ascii="Times New Roman" w:hAnsi="Times New Roman"/>
        </w:rPr>
      </w:pPr>
    </w:p>
    <w:p>
      <w:pPr>
        <w:pStyle w:val="24"/>
        <w:rPr>
          <w:rFonts w:ascii="Times New Roman" w:hAnsi="Times New Roman"/>
        </w:rPr>
      </w:pPr>
    </w:p>
    <w:p>
      <w:pPr>
        <w:pStyle w:val="24"/>
        <w:rPr>
          <w:rFonts w:ascii="Times New Roman" w:hAnsi="Times New Roman"/>
        </w:rPr>
      </w:pPr>
    </w:p>
    <w:p>
      <w:pPr>
        <w:pStyle w:val="24"/>
        <w:rPr>
          <w:rFonts w:ascii="Times New Roman" w:hAnsi="Times New Roman"/>
        </w:rPr>
      </w:pPr>
    </w:p>
    <w:p>
      <w:pPr>
        <w:pStyle w:val="24"/>
        <w:rPr>
          <w:rFonts w:ascii="Times New Roman" w:hAnsi="Times New Roman"/>
        </w:rPr>
      </w:pPr>
    </w:p>
    <w:p>
      <w:pPr>
        <w:pStyle w:val="24"/>
        <w:ind w:left="720"/>
        <w:rPr>
          <w:rFonts w:ascii="Times New Roman" w:hAnsi="Times New Roman"/>
          <w:b/>
          <w:sz w:val="22"/>
        </w:rPr>
      </w:pPr>
      <w:r>
        <w:rPr>
          <w:rFonts w:ascii="Times New Roman" w:hAnsi="Times New Roman"/>
          <w:b/>
          <w:sz w:val="22"/>
        </w:rPr>
        <w:br w:type="page"/>
      </w:r>
    </w:p>
    <w:p>
      <w:pPr>
        <w:pStyle w:val="24"/>
        <w:numPr>
          <w:ilvl w:val="0"/>
          <w:numId w:val="3"/>
        </w:numPr>
        <w:rPr>
          <w:rFonts w:ascii="Times New Roman" w:hAnsi="Times New Roman"/>
          <w:b/>
          <w:sz w:val="22"/>
        </w:rPr>
      </w:pPr>
      <w:r>
        <w:rPr>
          <w:rFonts w:hint="eastAsia" w:ascii="Times New Roman" w:hAnsi="Times New Roman"/>
          <w:b/>
          <w:sz w:val="22"/>
        </w:rPr>
        <w:t>股本變動及股東情況</w:t>
      </w:r>
    </w:p>
    <w:p>
      <w:pPr>
        <w:pStyle w:val="24"/>
        <w:tabs>
          <w:tab w:val="left" w:pos="720"/>
        </w:tabs>
        <w:ind w:left="720"/>
        <w:rPr>
          <w:rFonts w:ascii="Times New Roman" w:hAnsi="Times New Roman"/>
          <w:b/>
          <w:sz w:val="22"/>
        </w:rPr>
      </w:pPr>
    </w:p>
    <w:p>
      <w:pPr>
        <w:pStyle w:val="24"/>
        <w:numPr>
          <w:ilvl w:val="0"/>
          <w:numId w:val="1"/>
        </w:numPr>
        <w:rPr>
          <w:rFonts w:ascii="Times New Roman" w:hAnsi="Times New Roman"/>
          <w:b/>
          <w:sz w:val="22"/>
        </w:rPr>
      </w:pPr>
      <w:r>
        <w:rPr>
          <w:rFonts w:hint="eastAsia" w:ascii="Times New Roman" w:hAnsi="Times New Roman"/>
          <w:b/>
          <w:sz w:val="22"/>
        </w:rPr>
        <w:t>股份變動情況表</w:t>
      </w:r>
    </w:p>
    <w:p>
      <w:pPr>
        <w:spacing w:line="360" w:lineRule="exact"/>
        <w:ind w:firstLine="7470" w:firstLineChars="3557"/>
      </w:pPr>
      <w:r>
        <w:rPr>
          <w:rFonts w:hint="eastAsia"/>
        </w:rPr>
        <w:t>數量單位：股</w:t>
      </w:r>
    </w:p>
    <w:tbl>
      <w:tblPr>
        <w:tblW w:w="952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988"/>
        <w:gridCol w:w="1417"/>
        <w:gridCol w:w="1941"/>
        <w:gridCol w:w="1371"/>
        <w:gridCol w:w="18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340" w:hRule="atLeast"/>
          <w:jc w:val="center"/>
        </w:trPr>
        <w:tc>
          <w:tcPr>
            <w:tcW w:w="2988" w:type="dxa"/>
            <w:vAlign w:val="center"/>
          </w:tcPr>
          <w:p>
            <w:pPr>
              <w:spacing w:line="360" w:lineRule="exact"/>
              <w:jc w:val="center"/>
            </w:pPr>
          </w:p>
        </w:tc>
        <w:tc>
          <w:tcPr>
            <w:tcW w:w="3358" w:type="dxa"/>
            <w:gridSpan w:val="2"/>
            <w:vAlign w:val="center"/>
          </w:tcPr>
          <w:p>
            <w:pPr>
              <w:spacing w:line="360" w:lineRule="exact"/>
              <w:jc w:val="center"/>
            </w:pPr>
            <w:r>
              <w:t>2017</w:t>
            </w:r>
            <w:r>
              <w:rPr>
                <w:rFonts w:hint="eastAsia"/>
              </w:rPr>
              <w:t>年</w:t>
            </w:r>
            <w:r>
              <w:t>12</w:t>
            </w:r>
            <w:r>
              <w:rPr>
                <w:rFonts w:hint="eastAsia"/>
              </w:rPr>
              <w:t>月</w:t>
            </w:r>
            <w:r>
              <w:t>31</w:t>
            </w:r>
            <w:r>
              <w:rPr>
                <w:rFonts w:hint="eastAsia"/>
              </w:rPr>
              <w:t>日</w:t>
            </w:r>
          </w:p>
        </w:tc>
        <w:tc>
          <w:tcPr>
            <w:tcW w:w="3175" w:type="dxa"/>
            <w:gridSpan w:val="2"/>
            <w:vAlign w:val="center"/>
          </w:tcPr>
          <w:p>
            <w:pPr>
              <w:spacing w:line="360" w:lineRule="exact"/>
              <w:jc w:val="center"/>
            </w:pPr>
            <w:r>
              <w:t>2016</w:t>
            </w:r>
            <w:r>
              <w:rPr>
                <w:rFonts w:hint="eastAsia"/>
              </w:rPr>
              <w:t>年</w:t>
            </w:r>
            <w:r>
              <w:t>12</w:t>
            </w:r>
            <w:r>
              <w:rPr>
                <w:rFonts w:hint="eastAsia"/>
              </w:rPr>
              <w:t>月</w:t>
            </w:r>
            <w:r>
              <w:t>31</w:t>
            </w:r>
            <w:r>
              <w:rPr>
                <w:rFonts w:hint="eastAsia"/>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340" w:hRule="atLeast"/>
          <w:jc w:val="center"/>
        </w:trPr>
        <w:tc>
          <w:tcPr>
            <w:tcW w:w="2988" w:type="dxa"/>
            <w:vAlign w:val="center"/>
          </w:tcPr>
          <w:p>
            <w:pPr>
              <w:spacing w:line="360" w:lineRule="exact"/>
              <w:jc w:val="center"/>
              <w:rPr>
                <w:sz w:val="20"/>
              </w:rPr>
            </w:pPr>
            <w:r>
              <w:rPr>
                <w:rFonts w:hint="eastAsia"/>
                <w:sz w:val="20"/>
              </w:rPr>
              <w:t>股份類別</w:t>
            </w:r>
          </w:p>
        </w:tc>
        <w:tc>
          <w:tcPr>
            <w:tcW w:w="1417" w:type="dxa"/>
            <w:vAlign w:val="center"/>
          </w:tcPr>
          <w:p>
            <w:pPr>
              <w:spacing w:line="360" w:lineRule="exact"/>
              <w:jc w:val="center"/>
            </w:pPr>
            <w:r>
              <w:rPr>
                <w:rFonts w:hint="eastAsia"/>
              </w:rPr>
              <w:t>股份數量</w:t>
            </w:r>
          </w:p>
        </w:tc>
        <w:tc>
          <w:tcPr>
            <w:tcW w:w="1941" w:type="dxa"/>
            <w:vAlign w:val="center"/>
          </w:tcPr>
          <w:p>
            <w:pPr>
              <w:spacing w:line="360" w:lineRule="exact"/>
              <w:jc w:val="center"/>
            </w:pPr>
            <w:r>
              <w:rPr>
                <w:rFonts w:hint="eastAsia"/>
              </w:rPr>
              <w:t>占總股本比例（</w:t>
            </w:r>
            <w:r>
              <w:t>%</w:t>
            </w:r>
            <w:r>
              <w:rPr>
                <w:rFonts w:hint="eastAsia"/>
              </w:rPr>
              <w:t>）</w:t>
            </w:r>
          </w:p>
        </w:tc>
        <w:tc>
          <w:tcPr>
            <w:tcW w:w="1371" w:type="dxa"/>
            <w:vAlign w:val="center"/>
          </w:tcPr>
          <w:p>
            <w:pPr>
              <w:spacing w:line="360" w:lineRule="exact"/>
              <w:jc w:val="center"/>
            </w:pPr>
            <w:r>
              <w:rPr>
                <w:rFonts w:hint="eastAsia"/>
              </w:rPr>
              <w:t>股份數量</w:t>
            </w:r>
          </w:p>
        </w:tc>
        <w:tc>
          <w:tcPr>
            <w:tcW w:w="1804" w:type="dxa"/>
            <w:vAlign w:val="center"/>
          </w:tcPr>
          <w:p>
            <w:pPr>
              <w:spacing w:line="360" w:lineRule="exact"/>
              <w:jc w:val="center"/>
            </w:pPr>
            <w:r>
              <w:rPr>
                <w:rFonts w:hint="eastAsia"/>
              </w:rPr>
              <w:t>占總股本比例（</w:t>
            </w:r>
            <w:r>
              <w:t>%</w:t>
            </w:r>
            <w:r>
              <w:rPr>
                <w:rFonts w:hint="eastAsi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340" w:hRule="atLeast"/>
          <w:jc w:val="center"/>
        </w:trPr>
        <w:tc>
          <w:tcPr>
            <w:tcW w:w="2988" w:type="dxa"/>
            <w:vAlign w:val="center"/>
          </w:tcPr>
          <w:p>
            <w:pPr>
              <w:spacing w:line="360" w:lineRule="exact"/>
              <w:rPr>
                <w:sz w:val="20"/>
                <w:lang w:eastAsia="zh-TW"/>
              </w:rPr>
            </w:pPr>
            <w:r>
              <w:rPr>
                <w:rFonts w:hint="eastAsia"/>
                <w:sz w:val="20"/>
                <w:lang w:eastAsia="zh-TW"/>
              </w:rPr>
              <w:t>一、有限售條件的流通股合計</w:t>
            </w:r>
          </w:p>
        </w:tc>
        <w:tc>
          <w:tcPr>
            <w:tcW w:w="1417" w:type="dxa"/>
            <w:vAlign w:val="top"/>
          </w:tcPr>
          <w:p>
            <w:pPr>
              <w:spacing w:line="360" w:lineRule="exact"/>
              <w:jc w:val="right"/>
              <w:rPr>
                <w:sz w:val="20"/>
              </w:rPr>
            </w:pPr>
            <w:r>
              <w:rPr>
                <w:sz w:val="20"/>
              </w:rPr>
              <w:t>21,049,516</w:t>
            </w:r>
          </w:p>
        </w:tc>
        <w:tc>
          <w:tcPr>
            <w:tcW w:w="1941" w:type="dxa"/>
            <w:vAlign w:val="top"/>
          </w:tcPr>
          <w:p>
            <w:pPr>
              <w:spacing w:line="360" w:lineRule="exact"/>
              <w:jc w:val="right"/>
              <w:rPr>
                <w:sz w:val="20"/>
              </w:rPr>
            </w:pPr>
            <w:r>
              <w:rPr>
                <w:sz w:val="20"/>
              </w:rPr>
              <w:t>4.400</w:t>
            </w:r>
          </w:p>
        </w:tc>
        <w:tc>
          <w:tcPr>
            <w:tcW w:w="1371" w:type="dxa"/>
            <w:vAlign w:val="top"/>
          </w:tcPr>
          <w:p>
            <w:pPr>
              <w:spacing w:line="360" w:lineRule="exact"/>
              <w:jc w:val="right"/>
              <w:rPr>
                <w:sz w:val="20"/>
              </w:rPr>
            </w:pPr>
            <w:r>
              <w:rPr>
                <w:sz w:val="20"/>
              </w:rPr>
              <w:t>8,925</w:t>
            </w:r>
          </w:p>
        </w:tc>
        <w:tc>
          <w:tcPr>
            <w:tcW w:w="1804" w:type="dxa"/>
            <w:vAlign w:val="top"/>
          </w:tcPr>
          <w:p>
            <w:pPr>
              <w:spacing w:line="360" w:lineRule="exact"/>
              <w:jc w:val="right"/>
              <w:rPr>
                <w:sz w:val="20"/>
              </w:rPr>
            </w:pPr>
            <w:r>
              <w:rPr>
                <w:sz w:val="20"/>
              </w:rPr>
              <w:t>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340" w:hRule="atLeast"/>
          <w:jc w:val="center"/>
        </w:trPr>
        <w:tc>
          <w:tcPr>
            <w:tcW w:w="2988" w:type="dxa"/>
            <w:vAlign w:val="center"/>
          </w:tcPr>
          <w:p>
            <w:pPr>
              <w:spacing w:line="360" w:lineRule="exact"/>
              <w:rPr>
                <w:sz w:val="20"/>
              </w:rPr>
            </w:pPr>
            <w:r>
              <w:rPr>
                <w:rFonts w:hint="eastAsia"/>
                <w:sz w:val="20"/>
              </w:rPr>
              <w:t>國家持股</w:t>
            </w:r>
          </w:p>
        </w:tc>
        <w:tc>
          <w:tcPr>
            <w:tcW w:w="1417" w:type="dxa"/>
            <w:vAlign w:val="bottom"/>
          </w:tcPr>
          <w:p>
            <w:pPr>
              <w:spacing w:line="360" w:lineRule="exact"/>
              <w:jc w:val="right"/>
              <w:rPr>
                <w:sz w:val="20"/>
              </w:rPr>
            </w:pPr>
            <w:r>
              <w:rPr>
                <w:sz w:val="20"/>
              </w:rPr>
              <w:t>-</w:t>
            </w:r>
          </w:p>
        </w:tc>
        <w:tc>
          <w:tcPr>
            <w:tcW w:w="1941" w:type="dxa"/>
            <w:vAlign w:val="center"/>
          </w:tcPr>
          <w:p>
            <w:pPr>
              <w:spacing w:line="360" w:lineRule="exact"/>
              <w:jc w:val="right"/>
              <w:rPr>
                <w:sz w:val="20"/>
              </w:rPr>
            </w:pPr>
            <w:r>
              <w:rPr>
                <w:sz w:val="20"/>
              </w:rPr>
              <w:t>-</w:t>
            </w:r>
          </w:p>
        </w:tc>
        <w:tc>
          <w:tcPr>
            <w:tcW w:w="1371" w:type="dxa"/>
            <w:vAlign w:val="bottom"/>
          </w:tcPr>
          <w:p>
            <w:pPr>
              <w:spacing w:line="360" w:lineRule="exact"/>
              <w:jc w:val="right"/>
              <w:rPr>
                <w:sz w:val="20"/>
              </w:rPr>
            </w:pPr>
            <w:r>
              <w:rPr>
                <w:sz w:val="20"/>
              </w:rPr>
              <w:t>-</w:t>
            </w:r>
          </w:p>
        </w:tc>
        <w:tc>
          <w:tcPr>
            <w:tcW w:w="1804" w:type="dxa"/>
            <w:vAlign w:val="center"/>
          </w:tcPr>
          <w:p>
            <w:pPr>
              <w:spacing w:line="360" w:lineRule="exact"/>
              <w:jc w:val="right"/>
              <w:rPr>
                <w:sz w:val="20"/>
              </w:rPr>
            </w:pPr>
            <w:r>
              <w:rPr>
                <w:sz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340" w:hRule="atLeast"/>
          <w:jc w:val="center"/>
        </w:trPr>
        <w:tc>
          <w:tcPr>
            <w:tcW w:w="2988" w:type="dxa"/>
            <w:vAlign w:val="center"/>
          </w:tcPr>
          <w:p>
            <w:pPr>
              <w:spacing w:line="360" w:lineRule="exact"/>
              <w:rPr>
                <w:sz w:val="20"/>
              </w:rPr>
            </w:pPr>
            <w:r>
              <w:rPr>
                <w:rFonts w:hint="eastAsia"/>
                <w:sz w:val="20"/>
              </w:rPr>
              <w:t>境內法人持股</w:t>
            </w:r>
          </w:p>
        </w:tc>
        <w:tc>
          <w:tcPr>
            <w:tcW w:w="1417" w:type="dxa"/>
            <w:vAlign w:val="center"/>
          </w:tcPr>
          <w:p>
            <w:pPr>
              <w:spacing w:line="360" w:lineRule="exact"/>
              <w:jc w:val="right"/>
              <w:rPr>
                <w:sz w:val="20"/>
              </w:rPr>
            </w:pPr>
            <w:r>
              <w:rPr>
                <w:sz w:val="20"/>
              </w:rPr>
              <w:t>21,040,591</w:t>
            </w:r>
          </w:p>
        </w:tc>
        <w:tc>
          <w:tcPr>
            <w:tcW w:w="1941" w:type="dxa"/>
            <w:vAlign w:val="center"/>
          </w:tcPr>
          <w:p>
            <w:pPr>
              <w:spacing w:line="360" w:lineRule="exact"/>
              <w:jc w:val="right"/>
              <w:rPr>
                <w:sz w:val="20"/>
              </w:rPr>
            </w:pPr>
            <w:r>
              <w:rPr>
                <w:sz w:val="20"/>
              </w:rPr>
              <w:t>4.398</w:t>
            </w:r>
          </w:p>
        </w:tc>
        <w:tc>
          <w:tcPr>
            <w:tcW w:w="1371" w:type="dxa"/>
            <w:vAlign w:val="center"/>
          </w:tcPr>
          <w:p>
            <w:pPr>
              <w:spacing w:line="360" w:lineRule="exact"/>
              <w:jc w:val="right"/>
              <w:rPr>
                <w:sz w:val="20"/>
              </w:rPr>
            </w:pPr>
            <w:r>
              <w:rPr>
                <w:sz w:val="20"/>
              </w:rPr>
              <w:t>-</w:t>
            </w:r>
          </w:p>
        </w:tc>
        <w:tc>
          <w:tcPr>
            <w:tcW w:w="1804" w:type="dxa"/>
            <w:vAlign w:val="center"/>
          </w:tcPr>
          <w:p>
            <w:pPr>
              <w:spacing w:line="360" w:lineRule="exact"/>
              <w:jc w:val="right"/>
              <w:rPr>
                <w:sz w:val="20"/>
              </w:rPr>
            </w:pPr>
            <w:r>
              <w:rPr>
                <w:sz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340" w:hRule="atLeast"/>
          <w:jc w:val="center"/>
        </w:trPr>
        <w:tc>
          <w:tcPr>
            <w:tcW w:w="2988" w:type="dxa"/>
            <w:vAlign w:val="top"/>
          </w:tcPr>
          <w:p>
            <w:pPr>
              <w:spacing w:line="360" w:lineRule="exact"/>
              <w:rPr>
                <w:sz w:val="20"/>
                <w:lang w:eastAsia="zh-TW"/>
              </w:rPr>
            </w:pPr>
            <w:r>
              <w:rPr>
                <w:sz w:val="20"/>
                <w:lang w:eastAsia="zh-TW"/>
              </w:rPr>
              <w:t>A</w:t>
            </w:r>
            <w:r>
              <w:rPr>
                <w:rFonts w:hint="eastAsia"/>
                <w:sz w:val="20"/>
                <w:lang w:eastAsia="zh-TW"/>
              </w:rPr>
              <w:t>股有限售條件高管股</w:t>
            </w:r>
          </w:p>
        </w:tc>
        <w:tc>
          <w:tcPr>
            <w:tcW w:w="1417" w:type="dxa"/>
            <w:vAlign w:val="center"/>
          </w:tcPr>
          <w:p>
            <w:pPr>
              <w:spacing w:line="360" w:lineRule="exact"/>
              <w:jc w:val="right"/>
              <w:rPr>
                <w:sz w:val="20"/>
              </w:rPr>
            </w:pPr>
            <w:r>
              <w:rPr>
                <w:sz w:val="20"/>
              </w:rPr>
              <w:t>8,925</w:t>
            </w:r>
          </w:p>
        </w:tc>
        <w:tc>
          <w:tcPr>
            <w:tcW w:w="1941" w:type="dxa"/>
            <w:vAlign w:val="center"/>
          </w:tcPr>
          <w:p>
            <w:pPr>
              <w:spacing w:line="360" w:lineRule="exact"/>
              <w:jc w:val="right"/>
              <w:rPr>
                <w:sz w:val="20"/>
              </w:rPr>
            </w:pPr>
            <w:r>
              <w:rPr>
                <w:sz w:val="20"/>
              </w:rPr>
              <w:t>0.002</w:t>
            </w:r>
          </w:p>
        </w:tc>
        <w:tc>
          <w:tcPr>
            <w:tcW w:w="1371" w:type="dxa"/>
            <w:vAlign w:val="center"/>
          </w:tcPr>
          <w:p>
            <w:pPr>
              <w:spacing w:line="360" w:lineRule="exact"/>
              <w:jc w:val="right"/>
              <w:rPr>
                <w:sz w:val="20"/>
              </w:rPr>
            </w:pPr>
            <w:r>
              <w:rPr>
                <w:sz w:val="20"/>
              </w:rPr>
              <w:t>8,925</w:t>
            </w:r>
          </w:p>
        </w:tc>
        <w:tc>
          <w:tcPr>
            <w:tcW w:w="1804" w:type="dxa"/>
            <w:vAlign w:val="center"/>
          </w:tcPr>
          <w:p>
            <w:pPr>
              <w:spacing w:line="360" w:lineRule="exact"/>
              <w:jc w:val="right"/>
              <w:rPr>
                <w:sz w:val="20"/>
              </w:rPr>
            </w:pPr>
            <w:r>
              <w:rPr>
                <w:sz w:val="20"/>
              </w:rPr>
              <w:t>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340" w:hRule="atLeast"/>
          <w:jc w:val="center"/>
        </w:trPr>
        <w:tc>
          <w:tcPr>
            <w:tcW w:w="2988" w:type="dxa"/>
            <w:vAlign w:val="top"/>
          </w:tcPr>
          <w:p>
            <w:pPr>
              <w:spacing w:line="360" w:lineRule="exact"/>
              <w:rPr>
                <w:sz w:val="20"/>
              </w:rPr>
            </w:pPr>
            <w:r>
              <w:rPr>
                <w:rFonts w:hint="eastAsia"/>
                <w:sz w:val="20"/>
              </w:rPr>
              <w:t>其他</w:t>
            </w:r>
          </w:p>
        </w:tc>
        <w:tc>
          <w:tcPr>
            <w:tcW w:w="1417" w:type="dxa"/>
            <w:vAlign w:val="center"/>
          </w:tcPr>
          <w:p>
            <w:pPr>
              <w:spacing w:line="360" w:lineRule="exact"/>
              <w:jc w:val="right"/>
              <w:rPr>
                <w:sz w:val="20"/>
              </w:rPr>
            </w:pPr>
            <w:r>
              <w:rPr>
                <w:sz w:val="20"/>
              </w:rPr>
              <w:t>-</w:t>
            </w:r>
          </w:p>
        </w:tc>
        <w:tc>
          <w:tcPr>
            <w:tcW w:w="1941" w:type="dxa"/>
            <w:vAlign w:val="center"/>
          </w:tcPr>
          <w:p>
            <w:pPr>
              <w:spacing w:line="360" w:lineRule="exact"/>
              <w:jc w:val="right"/>
              <w:rPr>
                <w:sz w:val="20"/>
              </w:rPr>
            </w:pPr>
            <w:r>
              <w:rPr>
                <w:sz w:val="20"/>
              </w:rPr>
              <w:t>-</w:t>
            </w:r>
          </w:p>
        </w:tc>
        <w:tc>
          <w:tcPr>
            <w:tcW w:w="1371" w:type="dxa"/>
            <w:vAlign w:val="center"/>
          </w:tcPr>
          <w:p>
            <w:pPr>
              <w:spacing w:line="360" w:lineRule="exact"/>
              <w:jc w:val="right"/>
              <w:rPr>
                <w:sz w:val="20"/>
              </w:rPr>
            </w:pPr>
            <w:r>
              <w:rPr>
                <w:sz w:val="20"/>
              </w:rPr>
              <w:t>-</w:t>
            </w:r>
          </w:p>
        </w:tc>
        <w:tc>
          <w:tcPr>
            <w:tcW w:w="1804" w:type="dxa"/>
            <w:vAlign w:val="center"/>
          </w:tcPr>
          <w:p>
            <w:pPr>
              <w:spacing w:line="360" w:lineRule="exact"/>
              <w:jc w:val="right"/>
              <w:rPr>
                <w:sz w:val="20"/>
              </w:rPr>
            </w:pPr>
            <w:r>
              <w:rPr>
                <w:sz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340" w:hRule="atLeast"/>
          <w:jc w:val="center"/>
        </w:trPr>
        <w:tc>
          <w:tcPr>
            <w:tcW w:w="2988" w:type="dxa"/>
            <w:vAlign w:val="center"/>
          </w:tcPr>
          <w:p>
            <w:pPr>
              <w:spacing w:line="360" w:lineRule="exact"/>
              <w:rPr>
                <w:sz w:val="20"/>
                <w:lang w:eastAsia="zh-TW"/>
              </w:rPr>
            </w:pPr>
          </w:p>
          <w:p>
            <w:pPr>
              <w:spacing w:line="360" w:lineRule="exact"/>
              <w:rPr>
                <w:sz w:val="20"/>
                <w:lang w:eastAsia="zh-TW"/>
              </w:rPr>
            </w:pPr>
            <w:r>
              <w:rPr>
                <w:rFonts w:hint="eastAsia"/>
                <w:sz w:val="20"/>
                <w:lang w:eastAsia="zh-TW"/>
              </w:rPr>
              <w:t>二、無限售條件的流通股合計</w:t>
            </w:r>
          </w:p>
        </w:tc>
        <w:tc>
          <w:tcPr>
            <w:tcW w:w="1417" w:type="dxa"/>
            <w:vAlign w:val="bottom"/>
          </w:tcPr>
          <w:p>
            <w:pPr>
              <w:spacing w:line="360" w:lineRule="exact"/>
              <w:jc w:val="right"/>
              <w:rPr>
                <w:sz w:val="20"/>
              </w:rPr>
            </w:pPr>
            <w:r>
              <w:rPr>
                <w:sz w:val="20"/>
              </w:rPr>
              <w:t>457,303,905</w:t>
            </w:r>
          </w:p>
        </w:tc>
        <w:tc>
          <w:tcPr>
            <w:tcW w:w="1941" w:type="dxa"/>
            <w:vAlign w:val="bottom"/>
          </w:tcPr>
          <w:p>
            <w:pPr>
              <w:spacing w:line="360" w:lineRule="exact"/>
              <w:jc w:val="right"/>
              <w:rPr>
                <w:sz w:val="20"/>
              </w:rPr>
            </w:pPr>
            <w:r>
              <w:rPr>
                <w:sz w:val="20"/>
              </w:rPr>
              <w:t>95.600</w:t>
            </w:r>
          </w:p>
        </w:tc>
        <w:tc>
          <w:tcPr>
            <w:tcW w:w="1371" w:type="dxa"/>
            <w:vAlign w:val="bottom"/>
          </w:tcPr>
          <w:p>
            <w:pPr>
              <w:spacing w:line="360" w:lineRule="exact"/>
              <w:jc w:val="right"/>
              <w:rPr>
                <w:sz w:val="20"/>
              </w:rPr>
            </w:pPr>
            <w:r>
              <w:rPr>
                <w:sz w:val="20"/>
              </w:rPr>
              <w:t>457,303,905</w:t>
            </w:r>
          </w:p>
        </w:tc>
        <w:tc>
          <w:tcPr>
            <w:tcW w:w="1804" w:type="dxa"/>
            <w:vAlign w:val="bottom"/>
          </w:tcPr>
          <w:p>
            <w:pPr>
              <w:spacing w:line="360" w:lineRule="exact"/>
              <w:jc w:val="right"/>
              <w:rPr>
                <w:sz w:val="20"/>
              </w:rPr>
            </w:pPr>
            <w:r>
              <w:rPr>
                <w:sz w:val="20"/>
              </w:rPr>
              <w:t>99.998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340" w:hRule="atLeast"/>
          <w:jc w:val="center"/>
        </w:trPr>
        <w:tc>
          <w:tcPr>
            <w:tcW w:w="2988" w:type="dxa"/>
            <w:vAlign w:val="top"/>
          </w:tcPr>
          <w:p>
            <w:pPr>
              <w:spacing w:line="360" w:lineRule="exact"/>
              <w:rPr>
                <w:sz w:val="20"/>
                <w:lang w:eastAsia="zh-TW"/>
              </w:rPr>
            </w:pPr>
            <w:r>
              <w:rPr>
                <w:rFonts w:hint="eastAsia"/>
                <w:sz w:val="20"/>
                <w:lang w:eastAsia="zh-TW"/>
              </w:rPr>
              <w:t>人民幣普通股（</w:t>
            </w:r>
            <w:r>
              <w:rPr>
                <w:sz w:val="20"/>
                <w:lang w:eastAsia="zh-TW"/>
              </w:rPr>
              <w:t>A</w:t>
            </w:r>
            <w:r>
              <w:rPr>
                <w:rFonts w:hint="eastAsia"/>
                <w:sz w:val="20"/>
                <w:lang w:eastAsia="zh-TW"/>
              </w:rPr>
              <w:t>股）</w:t>
            </w:r>
          </w:p>
        </w:tc>
        <w:tc>
          <w:tcPr>
            <w:tcW w:w="1417" w:type="dxa"/>
            <w:vAlign w:val="bottom"/>
          </w:tcPr>
          <w:p>
            <w:pPr>
              <w:spacing w:line="360" w:lineRule="exact"/>
              <w:jc w:val="right"/>
              <w:rPr>
                <w:sz w:val="20"/>
              </w:rPr>
            </w:pPr>
            <w:r>
              <w:rPr>
                <w:sz w:val="20"/>
              </w:rPr>
              <w:t>307,303,905</w:t>
            </w:r>
          </w:p>
        </w:tc>
        <w:tc>
          <w:tcPr>
            <w:tcW w:w="1941" w:type="dxa"/>
            <w:vAlign w:val="bottom"/>
          </w:tcPr>
          <w:p>
            <w:pPr>
              <w:spacing w:line="360" w:lineRule="exact"/>
              <w:jc w:val="right"/>
              <w:rPr>
                <w:sz w:val="20"/>
              </w:rPr>
            </w:pPr>
            <w:r>
              <w:rPr>
                <w:sz w:val="20"/>
              </w:rPr>
              <w:t>64.242</w:t>
            </w:r>
          </w:p>
        </w:tc>
        <w:tc>
          <w:tcPr>
            <w:tcW w:w="1371" w:type="dxa"/>
            <w:vAlign w:val="bottom"/>
          </w:tcPr>
          <w:p>
            <w:pPr>
              <w:spacing w:line="360" w:lineRule="exact"/>
              <w:jc w:val="right"/>
              <w:rPr>
                <w:sz w:val="20"/>
              </w:rPr>
            </w:pPr>
            <w:r>
              <w:rPr>
                <w:sz w:val="20"/>
              </w:rPr>
              <w:t>307,303,905</w:t>
            </w:r>
          </w:p>
        </w:tc>
        <w:tc>
          <w:tcPr>
            <w:tcW w:w="1804" w:type="dxa"/>
            <w:vAlign w:val="bottom"/>
          </w:tcPr>
          <w:p>
            <w:pPr>
              <w:spacing w:line="360" w:lineRule="exact"/>
              <w:jc w:val="right"/>
              <w:rPr>
                <w:sz w:val="20"/>
              </w:rPr>
            </w:pPr>
            <w:r>
              <w:rPr>
                <w:sz w:val="20"/>
              </w:rPr>
              <w:t>67.198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340" w:hRule="atLeast"/>
          <w:jc w:val="center"/>
        </w:trPr>
        <w:tc>
          <w:tcPr>
            <w:tcW w:w="2988" w:type="dxa"/>
            <w:vAlign w:val="top"/>
          </w:tcPr>
          <w:p>
            <w:pPr>
              <w:spacing w:line="360" w:lineRule="exact"/>
              <w:rPr>
                <w:sz w:val="20"/>
                <w:lang w:eastAsia="zh-TW"/>
              </w:rPr>
            </w:pPr>
            <w:r>
              <w:rPr>
                <w:rFonts w:hint="eastAsia"/>
                <w:sz w:val="20"/>
                <w:lang w:eastAsia="zh-TW"/>
              </w:rPr>
              <w:t>境外上市外資股（</w:t>
            </w:r>
            <w:r>
              <w:rPr>
                <w:sz w:val="20"/>
                <w:lang w:eastAsia="zh-TW"/>
              </w:rPr>
              <w:t>H</w:t>
            </w:r>
            <w:r>
              <w:rPr>
                <w:rFonts w:hint="eastAsia"/>
                <w:sz w:val="20"/>
                <w:lang w:eastAsia="zh-TW"/>
              </w:rPr>
              <w:t>股）</w:t>
            </w:r>
          </w:p>
        </w:tc>
        <w:tc>
          <w:tcPr>
            <w:tcW w:w="1417" w:type="dxa"/>
            <w:vAlign w:val="center"/>
          </w:tcPr>
          <w:p>
            <w:pPr>
              <w:spacing w:line="360" w:lineRule="exact"/>
              <w:jc w:val="right"/>
              <w:rPr>
                <w:sz w:val="20"/>
              </w:rPr>
            </w:pPr>
            <w:r>
              <w:rPr>
                <w:sz w:val="20"/>
              </w:rPr>
              <w:t>150,000,000</w:t>
            </w:r>
          </w:p>
        </w:tc>
        <w:tc>
          <w:tcPr>
            <w:tcW w:w="1941" w:type="dxa"/>
            <w:vAlign w:val="center"/>
          </w:tcPr>
          <w:p>
            <w:pPr>
              <w:spacing w:line="360" w:lineRule="exact"/>
              <w:jc w:val="right"/>
              <w:rPr>
                <w:sz w:val="20"/>
              </w:rPr>
            </w:pPr>
            <w:r>
              <w:rPr>
                <w:sz w:val="20"/>
              </w:rPr>
              <w:t>31.358</w:t>
            </w:r>
          </w:p>
        </w:tc>
        <w:tc>
          <w:tcPr>
            <w:tcW w:w="1371" w:type="dxa"/>
            <w:vAlign w:val="center"/>
          </w:tcPr>
          <w:p>
            <w:pPr>
              <w:spacing w:line="360" w:lineRule="exact"/>
              <w:jc w:val="right"/>
              <w:rPr>
                <w:sz w:val="20"/>
              </w:rPr>
            </w:pPr>
            <w:r>
              <w:rPr>
                <w:sz w:val="20"/>
              </w:rPr>
              <w:t>150,000,000</w:t>
            </w:r>
          </w:p>
        </w:tc>
        <w:tc>
          <w:tcPr>
            <w:tcW w:w="1804" w:type="dxa"/>
            <w:vAlign w:val="center"/>
          </w:tcPr>
          <w:p>
            <w:pPr>
              <w:spacing w:line="360" w:lineRule="exact"/>
              <w:jc w:val="right"/>
              <w:rPr>
                <w:sz w:val="20"/>
              </w:rPr>
            </w:pPr>
            <w:r>
              <w:rPr>
                <w:sz w:val="20"/>
              </w:rPr>
              <w:t>32.800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340" w:hRule="atLeast"/>
          <w:jc w:val="center"/>
        </w:trPr>
        <w:tc>
          <w:tcPr>
            <w:tcW w:w="2988" w:type="dxa"/>
            <w:vAlign w:val="center"/>
          </w:tcPr>
          <w:p>
            <w:pPr>
              <w:spacing w:line="360" w:lineRule="exact"/>
              <w:rPr>
                <w:sz w:val="20"/>
                <w:lang w:eastAsia="zh-TW"/>
              </w:rPr>
            </w:pPr>
          </w:p>
          <w:p>
            <w:pPr>
              <w:spacing w:line="360" w:lineRule="exact"/>
              <w:rPr>
                <w:sz w:val="20"/>
              </w:rPr>
            </w:pPr>
            <w:r>
              <w:rPr>
                <w:rFonts w:hint="eastAsia"/>
                <w:sz w:val="20"/>
              </w:rPr>
              <w:t>三、股份總數</w:t>
            </w:r>
          </w:p>
        </w:tc>
        <w:tc>
          <w:tcPr>
            <w:tcW w:w="1417" w:type="dxa"/>
            <w:vAlign w:val="bottom"/>
          </w:tcPr>
          <w:p>
            <w:pPr>
              <w:spacing w:line="360" w:lineRule="exact"/>
              <w:jc w:val="right"/>
              <w:rPr>
                <w:sz w:val="20"/>
              </w:rPr>
            </w:pPr>
            <w:r>
              <w:rPr>
                <w:sz w:val="20"/>
              </w:rPr>
              <w:t>478,353,421</w:t>
            </w:r>
          </w:p>
        </w:tc>
        <w:tc>
          <w:tcPr>
            <w:tcW w:w="1941" w:type="dxa"/>
            <w:vAlign w:val="bottom"/>
          </w:tcPr>
          <w:p>
            <w:pPr>
              <w:spacing w:line="360" w:lineRule="exact"/>
              <w:jc w:val="right"/>
              <w:rPr>
                <w:sz w:val="20"/>
              </w:rPr>
            </w:pPr>
            <w:r>
              <w:rPr>
                <w:sz w:val="20"/>
              </w:rPr>
              <w:t>100.00</w:t>
            </w:r>
          </w:p>
        </w:tc>
        <w:tc>
          <w:tcPr>
            <w:tcW w:w="1371" w:type="dxa"/>
            <w:vAlign w:val="bottom"/>
          </w:tcPr>
          <w:p>
            <w:pPr>
              <w:spacing w:line="360" w:lineRule="exact"/>
              <w:jc w:val="right"/>
              <w:rPr>
                <w:sz w:val="20"/>
              </w:rPr>
            </w:pPr>
            <w:r>
              <w:rPr>
                <w:sz w:val="20"/>
              </w:rPr>
              <w:t>457,312,830</w:t>
            </w:r>
          </w:p>
        </w:tc>
        <w:tc>
          <w:tcPr>
            <w:tcW w:w="1804" w:type="dxa"/>
            <w:vAlign w:val="bottom"/>
          </w:tcPr>
          <w:p>
            <w:pPr>
              <w:wordWrap w:val="0"/>
              <w:spacing w:line="360" w:lineRule="exact"/>
              <w:jc w:val="right"/>
              <w:rPr>
                <w:sz w:val="20"/>
                <w:lang w:eastAsia="zh-TW"/>
              </w:rPr>
            </w:pPr>
            <w:r>
              <w:rPr>
                <w:sz w:val="20"/>
              </w:rPr>
              <w:t>100.00</w:t>
            </w:r>
          </w:p>
        </w:tc>
      </w:tr>
    </w:tbl>
    <w:p>
      <w:pPr>
        <w:pStyle w:val="24"/>
        <w:rPr>
          <w:rFonts w:ascii="Times New Roman" w:hAnsi="Times New Roman"/>
          <w:sz w:val="22"/>
          <w:lang w:eastAsia="zh-TW"/>
        </w:rPr>
      </w:pPr>
    </w:p>
    <w:p>
      <w:pPr>
        <w:pStyle w:val="24"/>
        <w:rPr>
          <w:rFonts w:ascii="Times New Roman" w:hAnsi="Times New Roman"/>
          <w:sz w:val="22"/>
          <w:lang w:eastAsia="zh-TW"/>
        </w:rPr>
      </w:pPr>
    </w:p>
    <w:p>
      <w:pPr>
        <w:pStyle w:val="24"/>
        <w:numPr>
          <w:ilvl w:val="0"/>
          <w:numId w:val="1"/>
        </w:numPr>
        <w:rPr>
          <w:rFonts w:ascii="Times New Roman" w:hAnsi="Times New Roman"/>
          <w:b/>
          <w:sz w:val="22"/>
        </w:rPr>
      </w:pPr>
      <w:r>
        <w:rPr>
          <w:rFonts w:hint="eastAsia" w:ascii="Times New Roman" w:hAnsi="Times New Roman"/>
          <w:b/>
          <w:sz w:val="22"/>
        </w:rPr>
        <w:t>股東情況介紹</w:t>
      </w:r>
    </w:p>
    <w:p>
      <w:pPr>
        <w:widowControl/>
        <w:jc w:val="left"/>
        <w:textAlignment w:val="center"/>
      </w:pPr>
      <w:r>
        <w:t xml:space="preserve">    </w:t>
      </w:r>
    </w:p>
    <w:p>
      <w:pPr>
        <w:widowControl/>
        <w:ind w:left="810" w:hanging="810"/>
        <w:jc w:val="left"/>
        <w:textAlignment w:val="center"/>
        <w:rPr>
          <w:lang w:eastAsia="zh-TW"/>
        </w:rPr>
      </w:pPr>
      <w:r>
        <w:rPr>
          <w:lang w:eastAsia="zh-TW"/>
        </w:rPr>
        <w:t xml:space="preserve">   </w:t>
      </w:r>
      <w:r>
        <w:rPr>
          <w:rFonts w:hint="eastAsia"/>
          <w:sz w:val="22"/>
          <w:lang w:eastAsia="zh-TW"/>
        </w:rPr>
        <w:t>（</w:t>
      </w:r>
      <w:r>
        <w:rPr>
          <w:sz w:val="22"/>
          <w:lang w:eastAsia="zh-TW"/>
        </w:rPr>
        <w:t>1</w:t>
      </w:r>
      <w:r>
        <w:rPr>
          <w:rFonts w:hint="eastAsia"/>
          <w:sz w:val="22"/>
          <w:lang w:eastAsia="zh-TW"/>
        </w:rPr>
        <w:t>）</w:t>
      </w:r>
      <w:r>
        <w:rPr>
          <w:rFonts w:hint="eastAsia"/>
          <w:lang w:eastAsia="zh-TW"/>
        </w:rPr>
        <w:t>於二零一七年十二月三十一日，本公司股東總數為</w:t>
      </w:r>
      <w:r>
        <w:rPr>
          <w:lang w:eastAsia="zh-TW"/>
        </w:rPr>
        <w:t>23,313戶，包括H</w:t>
      </w:r>
      <w:r>
        <w:rPr>
          <w:rFonts w:hint="eastAsia"/>
          <w:lang w:eastAsia="zh-TW"/>
        </w:rPr>
        <w:t>股股東</w:t>
      </w:r>
      <w:r>
        <w:rPr>
          <w:lang w:eastAsia="zh-TW"/>
        </w:rPr>
        <w:t>44戶, A</w:t>
      </w:r>
      <w:r>
        <w:rPr>
          <w:rFonts w:hint="eastAsia"/>
          <w:lang w:eastAsia="zh-TW"/>
        </w:rPr>
        <w:t>股股東</w:t>
      </w:r>
      <w:r>
        <w:rPr>
          <w:lang w:eastAsia="zh-TW"/>
        </w:rPr>
        <w:t>23,269戶。於二零一八年二月二十八日本公司股東總數28,835</w:t>
      </w:r>
      <w:r>
        <w:rPr>
          <w:rFonts w:hint="eastAsia"/>
          <w:lang w:eastAsia="zh-TW"/>
        </w:rPr>
        <w:t>戶，包括</w:t>
      </w:r>
      <w:r>
        <w:rPr>
          <w:lang w:eastAsia="zh-TW"/>
        </w:rPr>
        <w:t>H</w:t>
      </w:r>
      <w:r>
        <w:rPr>
          <w:rFonts w:hint="eastAsia"/>
          <w:lang w:eastAsia="zh-TW"/>
        </w:rPr>
        <w:t>股股東</w:t>
      </w:r>
      <w:r>
        <w:rPr>
          <w:lang w:eastAsia="zh-TW"/>
        </w:rPr>
        <w:t>42</w:t>
      </w:r>
      <w:r>
        <w:rPr>
          <w:rFonts w:hint="eastAsia"/>
          <w:lang w:eastAsia="zh-TW"/>
        </w:rPr>
        <w:t>戶</w:t>
      </w:r>
      <w:r>
        <w:rPr>
          <w:lang w:eastAsia="zh-TW"/>
        </w:rPr>
        <w:t>, A</w:t>
      </w:r>
      <w:r>
        <w:rPr>
          <w:rFonts w:hint="eastAsia"/>
          <w:lang w:eastAsia="zh-TW"/>
        </w:rPr>
        <w:t>股股東</w:t>
      </w:r>
      <w:r>
        <w:rPr>
          <w:lang w:eastAsia="zh-TW"/>
        </w:rPr>
        <w:t>28,793</w:t>
      </w:r>
      <w:r>
        <w:rPr>
          <w:rFonts w:hint="eastAsia"/>
          <w:lang w:eastAsia="zh-TW"/>
        </w:rPr>
        <w:t>戶。</w:t>
      </w:r>
    </w:p>
    <w:p>
      <w:pPr>
        <w:ind w:left="330" w:hanging="330" w:hangingChars="150"/>
        <w:rPr>
          <w:sz w:val="22"/>
          <w:lang w:eastAsia="zh-TW"/>
        </w:rPr>
      </w:pPr>
    </w:p>
    <w:p>
      <w:pPr>
        <w:ind w:firstLine="420"/>
        <w:rPr>
          <w:sz w:val="22"/>
          <w:lang w:eastAsia="zh-TW"/>
        </w:rPr>
      </w:pPr>
      <w:r>
        <w:rPr>
          <w:rFonts w:hint="eastAsia"/>
          <w:sz w:val="22"/>
          <w:lang w:eastAsia="zh-TW"/>
        </w:rPr>
        <w:t>（</w:t>
      </w:r>
      <w:r>
        <w:rPr>
          <w:sz w:val="22"/>
          <w:lang w:eastAsia="zh-TW"/>
        </w:rPr>
        <w:t>2</w:t>
      </w:r>
      <w:r>
        <w:rPr>
          <w:rFonts w:hint="eastAsia"/>
          <w:sz w:val="22"/>
          <w:lang w:eastAsia="zh-TW"/>
        </w:rPr>
        <w:t>）於二零一七年十二月三十一日持有本公司股份前十名股東情況如下：</w:t>
      </w:r>
    </w:p>
    <w:p>
      <w:pPr>
        <w:ind w:firstLine="8085" w:firstLineChars="3850"/>
      </w:pPr>
      <w:r>
        <w:rPr>
          <w:rFonts w:hint="eastAsia"/>
        </w:rPr>
        <w:t>單位：股</w:t>
      </w:r>
    </w:p>
    <w:tbl>
      <w:tblPr>
        <w:tblW w:w="8875" w:type="dxa"/>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
      <w:tblGrid>
        <w:gridCol w:w="2615"/>
        <w:gridCol w:w="529"/>
        <w:gridCol w:w="669"/>
        <w:gridCol w:w="1229"/>
        <w:gridCol w:w="1269"/>
        <w:gridCol w:w="1042"/>
        <w:gridCol w:w="1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rPr>
          <w:cantSplit/>
          <w:trHeight w:val="438" w:hRule="atLeast"/>
        </w:trPr>
        <w:tc>
          <w:tcPr>
            <w:tcW w:w="2615" w:type="dxa"/>
            <w:vMerge w:val="restart"/>
            <w:tcBorders>
              <w:top w:val="single" w:color="auto" w:sz="4" w:space="0"/>
              <w:left w:val="single" w:color="auto" w:sz="4" w:space="0"/>
              <w:bottom w:val="single" w:color="auto" w:sz="4" w:space="0"/>
              <w:right w:val="single" w:color="auto" w:sz="4" w:space="0"/>
            </w:tcBorders>
            <w:vAlign w:val="center"/>
          </w:tcPr>
          <w:p>
            <w:pPr>
              <w:jc w:val="center"/>
              <w:rPr>
                <w:sz w:val="18"/>
              </w:rPr>
            </w:pPr>
            <w:r>
              <w:rPr>
                <w:sz w:val="18"/>
              </w:rPr>
              <w:t>股東名稱</w:t>
            </w:r>
          </w:p>
        </w:tc>
        <w:tc>
          <w:tcPr>
            <w:tcW w:w="529" w:type="dxa"/>
            <w:vMerge w:val="restart"/>
            <w:tcBorders>
              <w:top w:val="single" w:color="auto" w:sz="4" w:space="0"/>
              <w:left w:val="single" w:color="auto" w:sz="4" w:space="0"/>
              <w:bottom w:val="single" w:color="auto" w:sz="4" w:space="0"/>
              <w:right w:val="single" w:color="auto" w:sz="4" w:space="0"/>
            </w:tcBorders>
            <w:vAlign w:val="center"/>
          </w:tcPr>
          <w:p>
            <w:pPr>
              <w:jc w:val="center"/>
              <w:rPr>
                <w:sz w:val="18"/>
              </w:rPr>
            </w:pPr>
            <w:r>
              <w:rPr>
                <w:sz w:val="18"/>
              </w:rPr>
              <w:t>股東性質</w:t>
            </w:r>
          </w:p>
        </w:tc>
        <w:tc>
          <w:tcPr>
            <w:tcW w:w="669" w:type="dxa"/>
            <w:vMerge w:val="restart"/>
            <w:tcBorders>
              <w:top w:val="single" w:color="auto" w:sz="4" w:space="0"/>
              <w:left w:val="single" w:color="auto" w:sz="4" w:space="0"/>
              <w:bottom w:val="single" w:color="auto" w:sz="4" w:space="0"/>
              <w:right w:val="single" w:color="auto" w:sz="4" w:space="0"/>
            </w:tcBorders>
            <w:vAlign w:val="center"/>
          </w:tcPr>
          <w:p>
            <w:pPr>
              <w:jc w:val="center"/>
              <w:rPr>
                <w:sz w:val="18"/>
              </w:rPr>
            </w:pPr>
            <w:r>
              <w:rPr>
                <w:sz w:val="18"/>
              </w:rPr>
              <w:t>持股比例</w:t>
            </w:r>
          </w:p>
        </w:tc>
        <w:tc>
          <w:tcPr>
            <w:tcW w:w="1229" w:type="dxa"/>
            <w:vMerge w:val="restart"/>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本</w:t>
            </w:r>
            <w:r>
              <w:rPr>
                <w:sz w:val="18"/>
              </w:rPr>
              <w:t>報告期末持股數量</w:t>
            </w:r>
          </w:p>
        </w:tc>
        <w:tc>
          <w:tcPr>
            <w:tcW w:w="126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PMingLiU"/>
                <w:sz w:val="18"/>
                <w:lang w:eastAsia="zh-TW"/>
              </w:rPr>
            </w:pPr>
            <w:r>
              <w:rPr>
                <w:rFonts w:hint="eastAsia"/>
                <w:sz w:val="18"/>
                <w:lang w:eastAsia="zh-TW"/>
              </w:rPr>
              <w:t>本</w:t>
            </w:r>
            <w:r>
              <w:rPr>
                <w:sz w:val="18"/>
                <w:lang w:eastAsia="zh-TW"/>
              </w:rPr>
              <w:t>報告期內增減變動情況</w:t>
            </w:r>
          </w:p>
        </w:tc>
        <w:tc>
          <w:tcPr>
            <w:tcW w:w="1042" w:type="dxa"/>
            <w:vMerge w:val="restart"/>
            <w:tcBorders>
              <w:top w:val="single" w:color="auto" w:sz="4" w:space="0"/>
              <w:left w:val="single" w:color="auto" w:sz="4" w:space="0"/>
              <w:bottom w:val="single" w:color="auto" w:sz="4" w:space="0"/>
              <w:right w:val="single" w:color="auto" w:sz="4" w:space="0"/>
            </w:tcBorders>
            <w:vAlign w:val="center"/>
          </w:tcPr>
          <w:p>
            <w:pPr>
              <w:jc w:val="center"/>
              <w:rPr>
                <w:sz w:val="18"/>
                <w:lang w:eastAsia="zh-TW"/>
              </w:rPr>
            </w:pPr>
            <w:r>
              <w:rPr>
                <w:sz w:val="18"/>
                <w:lang w:eastAsia="zh-TW"/>
              </w:rPr>
              <w:t>持有有限售條件的股份數量</w:t>
            </w:r>
          </w:p>
        </w:tc>
        <w:tc>
          <w:tcPr>
            <w:tcW w:w="1522" w:type="dxa"/>
            <w:vMerge w:val="restart"/>
            <w:tcBorders>
              <w:top w:val="single" w:color="auto" w:sz="4" w:space="0"/>
              <w:left w:val="single" w:color="auto" w:sz="4" w:space="0"/>
              <w:bottom w:val="single" w:color="auto" w:sz="4" w:space="0"/>
              <w:right w:val="single" w:color="auto" w:sz="4" w:space="0"/>
            </w:tcBorders>
            <w:vAlign w:val="center"/>
          </w:tcPr>
          <w:p>
            <w:pPr>
              <w:jc w:val="center"/>
              <w:rPr>
                <w:sz w:val="18"/>
                <w:lang w:eastAsia="zh-TW"/>
              </w:rPr>
            </w:pPr>
            <w:r>
              <w:rPr>
                <w:sz w:val="18"/>
                <w:lang w:eastAsia="zh-TW"/>
              </w:rPr>
              <w:t>持有無限售條件的股份數量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rPr>
          <w:cantSplit/>
          <w:trHeight w:val="438" w:hRule="atLeast"/>
        </w:trPr>
        <w:tc>
          <w:tcPr>
            <w:tcW w:w="2615"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lang w:eastAsia="zh-TW"/>
              </w:rPr>
            </w:pPr>
          </w:p>
        </w:tc>
        <w:tc>
          <w:tcPr>
            <w:tcW w:w="529"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lang w:eastAsia="zh-TW"/>
              </w:rPr>
            </w:pPr>
          </w:p>
        </w:tc>
        <w:tc>
          <w:tcPr>
            <w:tcW w:w="669"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lang w:eastAsia="zh-TW"/>
              </w:rPr>
            </w:pP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lang w:eastAsia="zh-TW"/>
              </w:rPr>
            </w:pPr>
          </w:p>
        </w:tc>
        <w:tc>
          <w:tcPr>
            <w:tcW w:w="1269"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lang w:eastAsia="zh-TW"/>
              </w:rPr>
            </w:pPr>
          </w:p>
        </w:tc>
        <w:tc>
          <w:tcPr>
            <w:tcW w:w="1042"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lang w:eastAsia="zh-TW"/>
              </w:rPr>
            </w:pPr>
          </w:p>
        </w:tc>
        <w:tc>
          <w:tcPr>
            <w:tcW w:w="1522"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2615"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18"/>
                <w:lang w:eastAsia="zh-TW"/>
              </w:rPr>
            </w:pPr>
            <w:r>
              <w:rPr>
                <w:kern w:val="0"/>
                <w:sz w:val="18"/>
                <w:lang w:eastAsia="zh-TW"/>
              </w:rPr>
              <w:t>山東新華醫藥集團有限責任公司</w:t>
            </w:r>
          </w:p>
        </w:tc>
        <w:tc>
          <w:tcPr>
            <w:tcW w:w="52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18"/>
              </w:rPr>
            </w:pPr>
            <w:r>
              <w:rPr>
                <w:rFonts w:hint="eastAsia"/>
                <w:kern w:val="0"/>
                <w:sz w:val="18"/>
              </w:rPr>
              <w:t>國家</w:t>
            </w:r>
            <w:r>
              <w:rPr>
                <w:kern w:val="0"/>
                <w:sz w:val="18"/>
              </w:rPr>
              <w:t>; A</w:t>
            </w:r>
            <w:r>
              <w:rPr>
                <w:rFonts w:hint="eastAsia"/>
                <w:kern w:val="0"/>
                <w:sz w:val="18"/>
              </w:rPr>
              <w:t>股</w:t>
            </w:r>
          </w:p>
        </w:tc>
        <w:tc>
          <w:tcPr>
            <w:tcW w:w="669"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kern w:val="0"/>
                <w:sz w:val="18"/>
              </w:rPr>
              <w:t>32.94</w:t>
            </w:r>
            <w:r>
              <w:rPr>
                <w:sz w:val="18"/>
                <w:szCs w:val="18"/>
              </w:rPr>
              <w:t>%</w:t>
            </w:r>
          </w:p>
          <w:p>
            <w:pPr>
              <w:jc w:val="right"/>
              <w:rPr>
                <w:kern w:val="0"/>
                <w:sz w:val="18"/>
              </w:rPr>
            </w:pPr>
            <w:r>
              <w:rPr>
                <w:sz w:val="20"/>
                <w:szCs w:val="24"/>
                <w:vertAlign w:val="superscript"/>
              </w:rPr>
              <w:t>(</w:t>
            </w:r>
            <w:r>
              <w:rPr>
                <w:rFonts w:hint="eastAsia"/>
                <w:sz w:val="20"/>
                <w:szCs w:val="24"/>
                <w:vertAlign w:val="superscript"/>
                <w:lang w:eastAsia="zh-TW"/>
              </w:rPr>
              <w:t>附註</w:t>
            </w:r>
            <w:r>
              <w:rPr>
                <w:sz w:val="20"/>
                <w:szCs w:val="24"/>
                <w:vertAlign w:val="superscript"/>
                <w:lang w:eastAsia="zh-TW"/>
              </w:rPr>
              <w:t>1)</w:t>
            </w:r>
          </w:p>
        </w:tc>
        <w:tc>
          <w:tcPr>
            <w:tcW w:w="1229" w:type="dxa"/>
            <w:tcBorders>
              <w:top w:val="single" w:color="auto" w:sz="4" w:space="0"/>
              <w:left w:val="single" w:color="auto" w:sz="4" w:space="0"/>
              <w:bottom w:val="single" w:color="auto" w:sz="4" w:space="0"/>
              <w:right w:val="single" w:color="auto" w:sz="4" w:space="0"/>
            </w:tcBorders>
            <w:vAlign w:val="center"/>
          </w:tcPr>
          <w:p>
            <w:pPr>
              <w:jc w:val="right"/>
              <w:rPr>
                <w:kern w:val="0"/>
                <w:sz w:val="18"/>
              </w:rPr>
            </w:pPr>
            <w:r>
              <w:rPr>
                <w:kern w:val="0"/>
                <w:sz w:val="18"/>
              </w:rPr>
              <w:t>157,587,763</w:t>
            </w:r>
          </w:p>
        </w:tc>
        <w:tc>
          <w:tcPr>
            <w:tcW w:w="1269" w:type="dxa"/>
            <w:tcBorders>
              <w:top w:val="single" w:color="auto" w:sz="4" w:space="0"/>
              <w:left w:val="single" w:color="auto" w:sz="4" w:space="0"/>
              <w:bottom w:val="single" w:color="auto" w:sz="4" w:space="0"/>
              <w:right w:val="single" w:color="auto" w:sz="4" w:space="0"/>
            </w:tcBorders>
            <w:vAlign w:val="center"/>
          </w:tcPr>
          <w:p>
            <w:pPr>
              <w:jc w:val="right"/>
              <w:rPr>
                <w:sz w:val="18"/>
              </w:rPr>
            </w:pPr>
            <w:r>
              <w:rPr>
                <w:rFonts w:hint="eastAsia"/>
                <w:sz w:val="18"/>
              </w:rPr>
              <w:t>-</w:t>
            </w:r>
          </w:p>
        </w:tc>
        <w:tc>
          <w:tcPr>
            <w:tcW w:w="1042" w:type="dxa"/>
            <w:tcBorders>
              <w:top w:val="single" w:color="auto" w:sz="4" w:space="0"/>
              <w:left w:val="single" w:color="auto" w:sz="4" w:space="0"/>
              <w:bottom w:val="single" w:color="auto" w:sz="4" w:space="0"/>
              <w:right w:val="single" w:color="auto" w:sz="4" w:space="0"/>
            </w:tcBorders>
            <w:vAlign w:val="center"/>
          </w:tcPr>
          <w:p>
            <w:pPr>
              <w:jc w:val="right"/>
              <w:rPr>
                <w:sz w:val="18"/>
              </w:rPr>
            </w:pPr>
            <w:r>
              <w:rPr>
                <w:sz w:val="18"/>
              </w:rPr>
              <w:t>-</w:t>
            </w:r>
          </w:p>
        </w:tc>
        <w:tc>
          <w:tcPr>
            <w:tcW w:w="1522" w:type="dxa"/>
            <w:tcBorders>
              <w:top w:val="single" w:color="auto" w:sz="4" w:space="0"/>
              <w:left w:val="single" w:color="auto" w:sz="4" w:space="0"/>
              <w:bottom w:val="single" w:color="auto" w:sz="4" w:space="0"/>
              <w:right w:val="single" w:color="auto" w:sz="4" w:space="0"/>
            </w:tcBorders>
            <w:vAlign w:val="center"/>
          </w:tcPr>
          <w:p>
            <w:pPr>
              <w:jc w:val="right"/>
              <w:rPr>
                <w:kern w:val="0"/>
                <w:sz w:val="18"/>
              </w:rPr>
            </w:pPr>
            <w:r>
              <w:rPr>
                <w:kern w:val="0"/>
                <w:sz w:val="18"/>
              </w:rPr>
              <w:t>157,587,763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2615"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18"/>
                <w:lang w:eastAsia="zh-TW"/>
              </w:rPr>
            </w:pPr>
            <w:r>
              <w:rPr>
                <w:rFonts w:hint="eastAsia"/>
                <w:kern w:val="0"/>
                <w:sz w:val="18"/>
                <w:lang w:eastAsia="zh-TW"/>
              </w:rPr>
              <w:t>香港中央結算（代理人）有限公司</w:t>
            </w:r>
          </w:p>
        </w:tc>
        <w:tc>
          <w:tcPr>
            <w:tcW w:w="52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18"/>
              </w:rPr>
            </w:pPr>
            <w:r>
              <w:rPr>
                <w:kern w:val="0"/>
                <w:sz w:val="18"/>
              </w:rPr>
              <w:t>H股</w:t>
            </w:r>
          </w:p>
        </w:tc>
        <w:tc>
          <w:tcPr>
            <w:tcW w:w="669" w:type="dxa"/>
            <w:tcBorders>
              <w:top w:val="single" w:color="auto" w:sz="4" w:space="0"/>
              <w:left w:val="single" w:color="auto" w:sz="4" w:space="0"/>
              <w:bottom w:val="single" w:color="auto" w:sz="4" w:space="0"/>
              <w:right w:val="single" w:color="auto" w:sz="4" w:space="0"/>
            </w:tcBorders>
            <w:vAlign w:val="center"/>
          </w:tcPr>
          <w:p>
            <w:pPr>
              <w:jc w:val="right"/>
              <w:rPr>
                <w:kern w:val="0"/>
                <w:sz w:val="18"/>
              </w:rPr>
            </w:pPr>
            <w:r>
              <w:rPr>
                <w:kern w:val="0"/>
                <w:sz w:val="18"/>
              </w:rPr>
              <w:t>31.14</w:t>
            </w:r>
            <w:r>
              <w:rPr>
                <w:sz w:val="18"/>
                <w:szCs w:val="18"/>
              </w:rPr>
              <w:t>%</w:t>
            </w:r>
            <w:r>
              <w:rPr>
                <w:kern w:val="0"/>
                <w:sz w:val="18"/>
              </w:rPr>
              <w:t xml:space="preserve"> </w:t>
            </w:r>
          </w:p>
        </w:tc>
        <w:tc>
          <w:tcPr>
            <w:tcW w:w="1229" w:type="dxa"/>
            <w:tcBorders>
              <w:top w:val="single" w:color="auto" w:sz="4" w:space="0"/>
              <w:left w:val="single" w:color="auto" w:sz="4" w:space="0"/>
              <w:bottom w:val="single" w:color="auto" w:sz="4" w:space="0"/>
              <w:right w:val="single" w:color="auto" w:sz="4" w:space="0"/>
            </w:tcBorders>
            <w:vAlign w:val="center"/>
          </w:tcPr>
          <w:p>
            <w:pPr>
              <w:jc w:val="right"/>
              <w:rPr>
                <w:kern w:val="0"/>
                <w:sz w:val="18"/>
              </w:rPr>
            </w:pPr>
            <w:r>
              <w:rPr>
                <w:kern w:val="0"/>
                <w:sz w:val="18"/>
              </w:rPr>
              <w:t xml:space="preserve">148,945,598 </w:t>
            </w:r>
          </w:p>
        </w:tc>
        <w:tc>
          <w:tcPr>
            <w:tcW w:w="1269" w:type="dxa"/>
            <w:tcBorders>
              <w:top w:val="single" w:color="auto" w:sz="4" w:space="0"/>
              <w:left w:val="single" w:color="auto" w:sz="4" w:space="0"/>
              <w:bottom w:val="single" w:color="auto" w:sz="4" w:space="0"/>
              <w:right w:val="single" w:color="auto" w:sz="4" w:space="0"/>
            </w:tcBorders>
            <w:vAlign w:val="center"/>
          </w:tcPr>
          <w:p>
            <w:pPr>
              <w:jc w:val="right"/>
              <w:rPr>
                <w:sz w:val="18"/>
              </w:rPr>
            </w:pPr>
            <w:r>
              <w:rPr>
                <w:kern w:val="0"/>
                <w:sz w:val="18"/>
              </w:rPr>
              <w:t>61,900</w:t>
            </w:r>
          </w:p>
        </w:tc>
        <w:tc>
          <w:tcPr>
            <w:tcW w:w="1042" w:type="dxa"/>
            <w:tcBorders>
              <w:top w:val="single" w:color="auto" w:sz="4" w:space="0"/>
              <w:left w:val="single" w:color="auto" w:sz="4" w:space="0"/>
              <w:bottom w:val="single" w:color="auto" w:sz="4" w:space="0"/>
              <w:right w:val="single" w:color="auto" w:sz="4" w:space="0"/>
            </w:tcBorders>
            <w:vAlign w:val="center"/>
          </w:tcPr>
          <w:p>
            <w:pPr>
              <w:jc w:val="right"/>
              <w:rPr>
                <w:sz w:val="18"/>
              </w:rPr>
            </w:pPr>
            <w:r>
              <w:rPr>
                <w:sz w:val="18"/>
              </w:rPr>
              <w:t>-</w:t>
            </w:r>
          </w:p>
        </w:tc>
        <w:tc>
          <w:tcPr>
            <w:tcW w:w="1522" w:type="dxa"/>
            <w:tcBorders>
              <w:top w:val="single" w:color="auto" w:sz="4" w:space="0"/>
              <w:left w:val="single" w:color="auto" w:sz="4" w:space="0"/>
              <w:bottom w:val="single" w:color="auto" w:sz="4" w:space="0"/>
              <w:right w:val="single" w:color="auto" w:sz="4" w:space="0"/>
            </w:tcBorders>
            <w:vAlign w:val="center"/>
          </w:tcPr>
          <w:p>
            <w:pPr>
              <w:jc w:val="right"/>
              <w:rPr>
                <w:kern w:val="0"/>
                <w:sz w:val="18"/>
              </w:rPr>
            </w:pPr>
            <w:r>
              <w:rPr>
                <w:kern w:val="0"/>
                <w:sz w:val="18"/>
              </w:rPr>
              <w:t>148,945,598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2615"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18"/>
                <w:lang w:eastAsia="zh-TW"/>
              </w:rPr>
            </w:pPr>
            <w:r>
              <w:rPr>
                <w:rFonts w:hint="eastAsia"/>
                <w:kern w:val="0"/>
                <w:sz w:val="18"/>
                <w:lang w:eastAsia="zh-TW"/>
              </w:rPr>
              <w:t>巨能資本管理有限公司－山東聚贏產業基金合夥企業（有限合夥）</w:t>
            </w:r>
          </w:p>
        </w:tc>
        <w:tc>
          <w:tcPr>
            <w:tcW w:w="52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18"/>
              </w:rPr>
            </w:pPr>
            <w:r>
              <w:rPr>
                <w:rFonts w:hint="eastAsia"/>
                <w:kern w:val="0"/>
                <w:sz w:val="18"/>
              </w:rPr>
              <w:t>基金</w:t>
            </w:r>
            <w:r>
              <w:rPr>
                <w:kern w:val="0"/>
                <w:sz w:val="18"/>
              </w:rPr>
              <w:t xml:space="preserve"> </w:t>
            </w:r>
          </w:p>
        </w:tc>
        <w:tc>
          <w:tcPr>
            <w:tcW w:w="669" w:type="dxa"/>
            <w:tcBorders>
              <w:top w:val="single" w:color="auto" w:sz="4" w:space="0"/>
              <w:left w:val="single" w:color="auto" w:sz="4" w:space="0"/>
              <w:bottom w:val="single" w:color="auto" w:sz="4" w:space="0"/>
              <w:right w:val="single" w:color="auto" w:sz="4" w:space="0"/>
            </w:tcBorders>
            <w:vAlign w:val="center"/>
          </w:tcPr>
          <w:p>
            <w:pPr>
              <w:jc w:val="right"/>
              <w:rPr>
                <w:kern w:val="0"/>
                <w:sz w:val="18"/>
              </w:rPr>
            </w:pPr>
            <w:r>
              <w:rPr>
                <w:kern w:val="0"/>
                <w:sz w:val="18"/>
              </w:rPr>
              <w:t>3.75</w:t>
            </w:r>
            <w:r>
              <w:rPr>
                <w:sz w:val="18"/>
                <w:szCs w:val="18"/>
              </w:rPr>
              <w:t>%</w:t>
            </w:r>
            <w:r>
              <w:rPr>
                <w:kern w:val="0"/>
                <w:sz w:val="18"/>
              </w:rPr>
              <w:t xml:space="preserve"> </w:t>
            </w:r>
          </w:p>
        </w:tc>
        <w:tc>
          <w:tcPr>
            <w:tcW w:w="1229" w:type="dxa"/>
            <w:tcBorders>
              <w:top w:val="single" w:color="auto" w:sz="4" w:space="0"/>
              <w:left w:val="single" w:color="auto" w:sz="4" w:space="0"/>
              <w:bottom w:val="single" w:color="auto" w:sz="4" w:space="0"/>
              <w:right w:val="single" w:color="auto" w:sz="4" w:space="0"/>
            </w:tcBorders>
            <w:vAlign w:val="center"/>
          </w:tcPr>
          <w:p>
            <w:pPr>
              <w:jc w:val="right"/>
              <w:rPr>
                <w:kern w:val="0"/>
                <w:sz w:val="18"/>
              </w:rPr>
            </w:pPr>
            <w:r>
              <w:rPr>
                <w:kern w:val="0"/>
                <w:sz w:val="18"/>
              </w:rPr>
              <w:t xml:space="preserve">17,930,905 </w:t>
            </w:r>
          </w:p>
        </w:tc>
        <w:tc>
          <w:tcPr>
            <w:tcW w:w="1269" w:type="dxa"/>
            <w:tcBorders>
              <w:top w:val="single" w:color="auto" w:sz="4" w:space="0"/>
              <w:left w:val="single" w:color="auto" w:sz="4" w:space="0"/>
              <w:bottom w:val="single" w:color="auto" w:sz="4" w:space="0"/>
              <w:right w:val="single" w:color="auto" w:sz="4" w:space="0"/>
            </w:tcBorders>
            <w:vAlign w:val="center"/>
          </w:tcPr>
          <w:p>
            <w:pPr>
              <w:jc w:val="right"/>
              <w:rPr>
                <w:sz w:val="18"/>
              </w:rPr>
            </w:pPr>
            <w:r>
              <w:rPr>
                <w:kern w:val="0"/>
                <w:sz w:val="18"/>
              </w:rPr>
              <w:t>17,930,905</w:t>
            </w:r>
          </w:p>
        </w:tc>
        <w:tc>
          <w:tcPr>
            <w:tcW w:w="1042" w:type="dxa"/>
            <w:tcBorders>
              <w:top w:val="single" w:color="auto" w:sz="4" w:space="0"/>
              <w:left w:val="single" w:color="auto" w:sz="4" w:space="0"/>
              <w:bottom w:val="single" w:color="auto" w:sz="4" w:space="0"/>
              <w:right w:val="single" w:color="auto" w:sz="4" w:space="0"/>
            </w:tcBorders>
            <w:vAlign w:val="center"/>
          </w:tcPr>
          <w:p>
            <w:pPr>
              <w:jc w:val="right"/>
              <w:rPr>
                <w:sz w:val="18"/>
              </w:rPr>
            </w:pPr>
            <w:r>
              <w:rPr>
                <w:kern w:val="0"/>
                <w:sz w:val="18"/>
              </w:rPr>
              <w:t>17,930,905</w:t>
            </w:r>
          </w:p>
        </w:tc>
        <w:tc>
          <w:tcPr>
            <w:tcW w:w="1522" w:type="dxa"/>
            <w:tcBorders>
              <w:top w:val="single" w:color="auto" w:sz="4" w:space="0"/>
              <w:left w:val="single" w:color="auto" w:sz="4" w:space="0"/>
              <w:bottom w:val="single" w:color="auto" w:sz="4" w:space="0"/>
              <w:right w:val="single" w:color="auto" w:sz="4" w:space="0"/>
            </w:tcBorders>
            <w:vAlign w:val="center"/>
          </w:tcPr>
          <w:p>
            <w:pPr>
              <w:jc w:val="right"/>
              <w:rPr>
                <w:kern w:val="0"/>
                <w:sz w:val="18"/>
              </w:rPr>
            </w:pPr>
            <w:r>
              <w:rPr>
                <w:kern w:val="0"/>
                <w:sz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2615"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18"/>
                <w:lang w:eastAsia="zh-TW"/>
              </w:rPr>
            </w:pPr>
            <w:r>
              <w:rPr>
                <w:rFonts w:hint="eastAsia"/>
                <w:kern w:val="0"/>
                <w:sz w:val="18"/>
                <w:lang w:eastAsia="zh-TW"/>
              </w:rPr>
              <w:t>招商銀行股份有限公司－匯添富醫療服務靈活配置混合型證券投資基金</w:t>
            </w:r>
          </w:p>
        </w:tc>
        <w:tc>
          <w:tcPr>
            <w:tcW w:w="52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18"/>
              </w:rPr>
            </w:pPr>
            <w:r>
              <w:rPr>
                <w:rFonts w:hint="eastAsia"/>
                <w:kern w:val="0"/>
                <w:sz w:val="18"/>
              </w:rPr>
              <w:t>基金</w:t>
            </w:r>
          </w:p>
        </w:tc>
        <w:tc>
          <w:tcPr>
            <w:tcW w:w="669" w:type="dxa"/>
            <w:tcBorders>
              <w:top w:val="single" w:color="auto" w:sz="4" w:space="0"/>
              <w:left w:val="single" w:color="auto" w:sz="4" w:space="0"/>
              <w:bottom w:val="single" w:color="auto" w:sz="4" w:space="0"/>
              <w:right w:val="single" w:color="auto" w:sz="4" w:space="0"/>
            </w:tcBorders>
            <w:vAlign w:val="center"/>
          </w:tcPr>
          <w:p>
            <w:pPr>
              <w:jc w:val="right"/>
              <w:rPr>
                <w:kern w:val="0"/>
                <w:sz w:val="18"/>
              </w:rPr>
            </w:pPr>
            <w:r>
              <w:rPr>
                <w:kern w:val="0"/>
                <w:sz w:val="18"/>
              </w:rPr>
              <w:t>2.31</w:t>
            </w:r>
            <w:r>
              <w:rPr>
                <w:sz w:val="18"/>
                <w:szCs w:val="18"/>
              </w:rPr>
              <w:t>%</w:t>
            </w:r>
            <w:r>
              <w:rPr>
                <w:kern w:val="0"/>
                <w:sz w:val="18"/>
              </w:rPr>
              <w:t xml:space="preserve"> </w:t>
            </w:r>
          </w:p>
        </w:tc>
        <w:tc>
          <w:tcPr>
            <w:tcW w:w="1229" w:type="dxa"/>
            <w:tcBorders>
              <w:top w:val="single" w:color="auto" w:sz="4" w:space="0"/>
              <w:left w:val="single" w:color="auto" w:sz="4" w:space="0"/>
              <w:bottom w:val="single" w:color="auto" w:sz="4" w:space="0"/>
              <w:right w:val="single" w:color="auto" w:sz="4" w:space="0"/>
            </w:tcBorders>
            <w:vAlign w:val="center"/>
          </w:tcPr>
          <w:p>
            <w:pPr>
              <w:jc w:val="right"/>
              <w:rPr>
                <w:kern w:val="0"/>
                <w:sz w:val="18"/>
              </w:rPr>
            </w:pPr>
            <w:r>
              <w:rPr>
                <w:kern w:val="0"/>
                <w:sz w:val="18"/>
              </w:rPr>
              <w:t xml:space="preserve">11,065,642 </w:t>
            </w:r>
          </w:p>
        </w:tc>
        <w:tc>
          <w:tcPr>
            <w:tcW w:w="1269" w:type="dxa"/>
            <w:tcBorders>
              <w:top w:val="single" w:color="auto" w:sz="4" w:space="0"/>
              <w:left w:val="single" w:color="auto" w:sz="4" w:space="0"/>
              <w:bottom w:val="single" w:color="auto" w:sz="4" w:space="0"/>
              <w:right w:val="single" w:color="auto" w:sz="4" w:space="0"/>
            </w:tcBorders>
            <w:vAlign w:val="center"/>
          </w:tcPr>
          <w:p>
            <w:pPr>
              <w:jc w:val="right"/>
              <w:rPr>
                <w:sz w:val="18"/>
              </w:rPr>
            </w:pPr>
            <w:r>
              <w:rPr>
                <w:kern w:val="0"/>
                <w:sz w:val="18"/>
              </w:rPr>
              <w:t>5,165,830</w:t>
            </w:r>
          </w:p>
        </w:tc>
        <w:tc>
          <w:tcPr>
            <w:tcW w:w="1042" w:type="dxa"/>
            <w:tcBorders>
              <w:top w:val="single" w:color="auto" w:sz="4" w:space="0"/>
              <w:left w:val="single" w:color="auto" w:sz="4" w:space="0"/>
              <w:bottom w:val="single" w:color="auto" w:sz="4" w:space="0"/>
              <w:right w:val="single" w:color="auto" w:sz="4" w:space="0"/>
            </w:tcBorders>
            <w:vAlign w:val="center"/>
          </w:tcPr>
          <w:p>
            <w:pPr>
              <w:jc w:val="right"/>
              <w:rPr>
                <w:sz w:val="18"/>
              </w:rPr>
            </w:pPr>
            <w:r>
              <w:rPr>
                <w:sz w:val="18"/>
              </w:rPr>
              <w:t>-</w:t>
            </w:r>
          </w:p>
        </w:tc>
        <w:tc>
          <w:tcPr>
            <w:tcW w:w="1522" w:type="dxa"/>
            <w:tcBorders>
              <w:top w:val="single" w:color="auto" w:sz="4" w:space="0"/>
              <w:left w:val="single" w:color="auto" w:sz="4" w:space="0"/>
              <w:bottom w:val="single" w:color="auto" w:sz="4" w:space="0"/>
              <w:right w:val="single" w:color="auto" w:sz="4" w:space="0"/>
            </w:tcBorders>
            <w:vAlign w:val="center"/>
          </w:tcPr>
          <w:p>
            <w:pPr>
              <w:jc w:val="right"/>
              <w:rPr>
                <w:kern w:val="0"/>
                <w:sz w:val="18"/>
              </w:rPr>
            </w:pPr>
            <w:r>
              <w:rPr>
                <w:kern w:val="0"/>
                <w:sz w:val="18"/>
              </w:rPr>
              <w:t xml:space="preserve">11,065,642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2615"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18"/>
                <w:lang w:eastAsia="zh-TW"/>
              </w:rPr>
            </w:pPr>
            <w:r>
              <w:rPr>
                <w:rFonts w:hint="eastAsia"/>
                <w:kern w:val="0"/>
                <w:sz w:val="18"/>
                <w:lang w:eastAsia="zh-TW"/>
              </w:rPr>
              <w:t>全國社保基金一零七組合</w:t>
            </w:r>
          </w:p>
        </w:tc>
        <w:tc>
          <w:tcPr>
            <w:tcW w:w="52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18"/>
              </w:rPr>
            </w:pPr>
            <w:r>
              <w:rPr>
                <w:rFonts w:hint="eastAsia"/>
                <w:kern w:val="0"/>
                <w:sz w:val="18"/>
              </w:rPr>
              <w:t>基金</w:t>
            </w:r>
          </w:p>
        </w:tc>
        <w:tc>
          <w:tcPr>
            <w:tcW w:w="669" w:type="dxa"/>
            <w:tcBorders>
              <w:top w:val="single" w:color="auto" w:sz="4" w:space="0"/>
              <w:left w:val="single" w:color="auto" w:sz="4" w:space="0"/>
              <w:bottom w:val="single" w:color="auto" w:sz="4" w:space="0"/>
              <w:right w:val="single" w:color="auto" w:sz="4" w:space="0"/>
            </w:tcBorders>
            <w:vAlign w:val="center"/>
          </w:tcPr>
          <w:p>
            <w:pPr>
              <w:jc w:val="right"/>
              <w:rPr>
                <w:kern w:val="0"/>
                <w:sz w:val="18"/>
              </w:rPr>
            </w:pPr>
            <w:r>
              <w:rPr>
                <w:kern w:val="0"/>
                <w:sz w:val="18"/>
              </w:rPr>
              <w:t>0.69</w:t>
            </w:r>
            <w:r>
              <w:rPr>
                <w:sz w:val="18"/>
                <w:szCs w:val="18"/>
              </w:rPr>
              <w:t>%</w:t>
            </w:r>
            <w:r>
              <w:rPr>
                <w:kern w:val="0"/>
                <w:sz w:val="18"/>
              </w:rPr>
              <w:t xml:space="preserve"> </w:t>
            </w:r>
          </w:p>
        </w:tc>
        <w:tc>
          <w:tcPr>
            <w:tcW w:w="1229" w:type="dxa"/>
            <w:tcBorders>
              <w:top w:val="single" w:color="auto" w:sz="4" w:space="0"/>
              <w:left w:val="single" w:color="auto" w:sz="4" w:space="0"/>
              <w:bottom w:val="single" w:color="auto" w:sz="4" w:space="0"/>
              <w:right w:val="single" w:color="auto" w:sz="4" w:space="0"/>
            </w:tcBorders>
            <w:vAlign w:val="center"/>
          </w:tcPr>
          <w:p>
            <w:pPr>
              <w:jc w:val="right"/>
              <w:rPr>
                <w:kern w:val="0"/>
                <w:sz w:val="18"/>
              </w:rPr>
            </w:pPr>
            <w:r>
              <w:rPr>
                <w:kern w:val="0"/>
                <w:sz w:val="18"/>
              </w:rPr>
              <w:t xml:space="preserve">3,309,367 </w:t>
            </w:r>
          </w:p>
        </w:tc>
        <w:tc>
          <w:tcPr>
            <w:tcW w:w="1269" w:type="dxa"/>
            <w:tcBorders>
              <w:top w:val="single" w:color="auto" w:sz="4" w:space="0"/>
              <w:left w:val="single" w:color="auto" w:sz="4" w:space="0"/>
              <w:bottom w:val="single" w:color="auto" w:sz="4" w:space="0"/>
              <w:right w:val="single" w:color="auto" w:sz="4" w:space="0"/>
            </w:tcBorders>
            <w:vAlign w:val="center"/>
          </w:tcPr>
          <w:p>
            <w:pPr>
              <w:jc w:val="right"/>
              <w:rPr>
                <w:sz w:val="18"/>
              </w:rPr>
            </w:pPr>
            <w:r>
              <w:rPr>
                <w:kern w:val="0"/>
                <w:sz w:val="18"/>
              </w:rPr>
              <w:t>3,309,367</w:t>
            </w:r>
          </w:p>
        </w:tc>
        <w:tc>
          <w:tcPr>
            <w:tcW w:w="1042" w:type="dxa"/>
            <w:tcBorders>
              <w:top w:val="single" w:color="auto" w:sz="4" w:space="0"/>
              <w:left w:val="single" w:color="auto" w:sz="4" w:space="0"/>
              <w:bottom w:val="single" w:color="auto" w:sz="4" w:space="0"/>
              <w:right w:val="single" w:color="auto" w:sz="4" w:space="0"/>
            </w:tcBorders>
            <w:vAlign w:val="center"/>
          </w:tcPr>
          <w:p>
            <w:pPr>
              <w:jc w:val="right"/>
              <w:rPr>
                <w:sz w:val="18"/>
              </w:rPr>
            </w:pPr>
            <w:r>
              <w:rPr>
                <w:sz w:val="18"/>
              </w:rPr>
              <w:t>-</w:t>
            </w:r>
          </w:p>
        </w:tc>
        <w:tc>
          <w:tcPr>
            <w:tcW w:w="1522" w:type="dxa"/>
            <w:tcBorders>
              <w:top w:val="single" w:color="auto" w:sz="4" w:space="0"/>
              <w:left w:val="single" w:color="auto" w:sz="4" w:space="0"/>
              <w:bottom w:val="single" w:color="auto" w:sz="4" w:space="0"/>
              <w:right w:val="single" w:color="auto" w:sz="4" w:space="0"/>
            </w:tcBorders>
            <w:vAlign w:val="center"/>
          </w:tcPr>
          <w:p>
            <w:pPr>
              <w:jc w:val="right"/>
              <w:rPr>
                <w:kern w:val="0"/>
                <w:sz w:val="18"/>
              </w:rPr>
            </w:pPr>
            <w:r>
              <w:rPr>
                <w:kern w:val="0"/>
                <w:sz w:val="18"/>
              </w:rPr>
              <w:t xml:space="preserve">3,309,367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2615"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18"/>
                <w:lang w:eastAsia="zh-TW"/>
              </w:rPr>
            </w:pPr>
            <w:r>
              <w:rPr>
                <w:rFonts w:hint="eastAsia"/>
                <w:kern w:val="0"/>
                <w:sz w:val="18"/>
                <w:lang w:eastAsia="zh-TW"/>
              </w:rPr>
              <w:t>山東新華制藥股份有限公司－第一期員工持股</w:t>
            </w:r>
            <w:r>
              <w:rPr>
                <w:rFonts w:hint="eastAsia" w:cs="Tahoma"/>
                <w:kern w:val="0"/>
                <w:sz w:val="18"/>
                <w:szCs w:val="18"/>
                <w:lang w:eastAsia="zh-TW"/>
              </w:rPr>
              <w:t>計劃</w:t>
            </w:r>
          </w:p>
        </w:tc>
        <w:tc>
          <w:tcPr>
            <w:tcW w:w="52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18"/>
              </w:rPr>
            </w:pPr>
            <w:r>
              <w:rPr>
                <w:rFonts w:hint="eastAsia"/>
                <w:kern w:val="0"/>
                <w:sz w:val="18"/>
              </w:rPr>
              <w:t>持股計</w:t>
            </w:r>
            <w:r>
              <w:rPr>
                <w:rFonts w:hint="eastAsia" w:cs="Tahoma"/>
                <w:kern w:val="0"/>
                <w:sz w:val="18"/>
                <w:szCs w:val="18"/>
              </w:rPr>
              <w:t>劃</w:t>
            </w:r>
          </w:p>
        </w:tc>
        <w:tc>
          <w:tcPr>
            <w:tcW w:w="669" w:type="dxa"/>
            <w:tcBorders>
              <w:top w:val="single" w:color="auto" w:sz="4" w:space="0"/>
              <w:left w:val="single" w:color="auto" w:sz="4" w:space="0"/>
              <w:bottom w:val="single" w:color="auto" w:sz="4" w:space="0"/>
              <w:right w:val="single" w:color="auto" w:sz="4" w:space="0"/>
            </w:tcBorders>
            <w:vAlign w:val="center"/>
          </w:tcPr>
          <w:p>
            <w:pPr>
              <w:jc w:val="right"/>
              <w:rPr>
                <w:kern w:val="0"/>
                <w:sz w:val="18"/>
              </w:rPr>
            </w:pPr>
            <w:r>
              <w:rPr>
                <w:kern w:val="0"/>
                <w:sz w:val="18"/>
              </w:rPr>
              <w:t>0.65</w:t>
            </w:r>
            <w:r>
              <w:rPr>
                <w:sz w:val="18"/>
                <w:szCs w:val="18"/>
              </w:rPr>
              <w:t>%</w:t>
            </w:r>
            <w:r>
              <w:rPr>
                <w:kern w:val="0"/>
                <w:sz w:val="18"/>
              </w:rPr>
              <w:t xml:space="preserve"> </w:t>
            </w:r>
          </w:p>
        </w:tc>
        <w:tc>
          <w:tcPr>
            <w:tcW w:w="1229" w:type="dxa"/>
            <w:tcBorders>
              <w:top w:val="single" w:color="auto" w:sz="4" w:space="0"/>
              <w:left w:val="single" w:color="auto" w:sz="4" w:space="0"/>
              <w:bottom w:val="single" w:color="auto" w:sz="4" w:space="0"/>
              <w:right w:val="single" w:color="auto" w:sz="4" w:space="0"/>
            </w:tcBorders>
            <w:vAlign w:val="center"/>
          </w:tcPr>
          <w:p>
            <w:pPr>
              <w:jc w:val="right"/>
              <w:rPr>
                <w:kern w:val="0"/>
                <w:sz w:val="18"/>
              </w:rPr>
            </w:pPr>
            <w:r>
              <w:rPr>
                <w:kern w:val="0"/>
                <w:sz w:val="18"/>
              </w:rPr>
              <w:t xml:space="preserve">3,109,686 </w:t>
            </w:r>
          </w:p>
        </w:tc>
        <w:tc>
          <w:tcPr>
            <w:tcW w:w="1269" w:type="dxa"/>
            <w:tcBorders>
              <w:top w:val="single" w:color="auto" w:sz="4" w:space="0"/>
              <w:left w:val="single" w:color="auto" w:sz="4" w:space="0"/>
              <w:bottom w:val="single" w:color="auto" w:sz="4" w:space="0"/>
              <w:right w:val="single" w:color="auto" w:sz="4" w:space="0"/>
            </w:tcBorders>
            <w:vAlign w:val="center"/>
          </w:tcPr>
          <w:p>
            <w:pPr>
              <w:jc w:val="right"/>
              <w:rPr>
                <w:sz w:val="18"/>
              </w:rPr>
            </w:pPr>
            <w:r>
              <w:rPr>
                <w:kern w:val="0"/>
                <w:sz w:val="18"/>
              </w:rPr>
              <w:t>3,109,686</w:t>
            </w:r>
          </w:p>
        </w:tc>
        <w:tc>
          <w:tcPr>
            <w:tcW w:w="1042" w:type="dxa"/>
            <w:tcBorders>
              <w:top w:val="single" w:color="auto" w:sz="4" w:space="0"/>
              <w:left w:val="single" w:color="auto" w:sz="4" w:space="0"/>
              <w:bottom w:val="single" w:color="auto" w:sz="4" w:space="0"/>
              <w:right w:val="single" w:color="auto" w:sz="4" w:space="0"/>
            </w:tcBorders>
            <w:vAlign w:val="center"/>
          </w:tcPr>
          <w:p>
            <w:pPr>
              <w:jc w:val="right"/>
              <w:rPr>
                <w:sz w:val="18"/>
              </w:rPr>
            </w:pPr>
            <w:r>
              <w:rPr>
                <w:kern w:val="0"/>
                <w:sz w:val="18"/>
              </w:rPr>
              <w:t>3,109,686</w:t>
            </w:r>
          </w:p>
        </w:tc>
        <w:tc>
          <w:tcPr>
            <w:tcW w:w="1522" w:type="dxa"/>
            <w:tcBorders>
              <w:top w:val="single" w:color="auto" w:sz="4" w:space="0"/>
              <w:left w:val="single" w:color="auto" w:sz="4" w:space="0"/>
              <w:bottom w:val="single" w:color="auto" w:sz="4" w:space="0"/>
              <w:right w:val="single" w:color="auto" w:sz="4" w:space="0"/>
            </w:tcBorders>
            <w:vAlign w:val="center"/>
          </w:tcPr>
          <w:p>
            <w:pPr>
              <w:jc w:val="right"/>
              <w:rPr>
                <w:kern w:val="0"/>
                <w:sz w:val="18"/>
              </w:rPr>
            </w:pPr>
            <w:r>
              <w:rPr>
                <w:kern w:val="0"/>
                <w:sz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2615"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18"/>
                <w:lang w:eastAsia="zh-TW"/>
              </w:rPr>
            </w:pPr>
            <w:r>
              <w:rPr>
                <w:rFonts w:hint="eastAsia"/>
                <w:kern w:val="0"/>
                <w:sz w:val="18"/>
                <w:lang w:eastAsia="zh-TW"/>
              </w:rPr>
              <w:t>全國社保基金四一二組合</w:t>
            </w:r>
          </w:p>
        </w:tc>
        <w:tc>
          <w:tcPr>
            <w:tcW w:w="52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18"/>
              </w:rPr>
            </w:pPr>
            <w:r>
              <w:rPr>
                <w:rFonts w:hint="eastAsia"/>
                <w:kern w:val="0"/>
                <w:sz w:val="18"/>
              </w:rPr>
              <w:t>基金</w:t>
            </w:r>
          </w:p>
        </w:tc>
        <w:tc>
          <w:tcPr>
            <w:tcW w:w="669" w:type="dxa"/>
            <w:tcBorders>
              <w:top w:val="single" w:color="auto" w:sz="4" w:space="0"/>
              <w:left w:val="single" w:color="auto" w:sz="4" w:space="0"/>
              <w:bottom w:val="single" w:color="auto" w:sz="4" w:space="0"/>
              <w:right w:val="single" w:color="auto" w:sz="4" w:space="0"/>
            </w:tcBorders>
            <w:vAlign w:val="center"/>
          </w:tcPr>
          <w:p>
            <w:pPr>
              <w:jc w:val="right"/>
              <w:rPr>
                <w:kern w:val="0"/>
                <w:sz w:val="18"/>
              </w:rPr>
            </w:pPr>
            <w:r>
              <w:rPr>
                <w:kern w:val="0"/>
                <w:sz w:val="18"/>
              </w:rPr>
              <w:t>0.62</w:t>
            </w:r>
            <w:r>
              <w:rPr>
                <w:sz w:val="18"/>
                <w:szCs w:val="18"/>
              </w:rPr>
              <w:t>%</w:t>
            </w:r>
            <w:r>
              <w:rPr>
                <w:kern w:val="0"/>
                <w:sz w:val="18"/>
              </w:rPr>
              <w:t xml:space="preserve"> </w:t>
            </w:r>
          </w:p>
        </w:tc>
        <w:tc>
          <w:tcPr>
            <w:tcW w:w="1229" w:type="dxa"/>
            <w:tcBorders>
              <w:top w:val="single" w:color="auto" w:sz="4" w:space="0"/>
              <w:left w:val="single" w:color="auto" w:sz="4" w:space="0"/>
              <w:bottom w:val="single" w:color="auto" w:sz="4" w:space="0"/>
              <w:right w:val="single" w:color="auto" w:sz="4" w:space="0"/>
            </w:tcBorders>
            <w:vAlign w:val="center"/>
          </w:tcPr>
          <w:p>
            <w:pPr>
              <w:jc w:val="right"/>
              <w:rPr>
                <w:kern w:val="0"/>
                <w:sz w:val="18"/>
              </w:rPr>
            </w:pPr>
            <w:r>
              <w:rPr>
                <w:kern w:val="0"/>
                <w:sz w:val="18"/>
              </w:rPr>
              <w:t xml:space="preserve">2,942,900 </w:t>
            </w:r>
          </w:p>
        </w:tc>
        <w:tc>
          <w:tcPr>
            <w:tcW w:w="1269" w:type="dxa"/>
            <w:tcBorders>
              <w:top w:val="single" w:color="auto" w:sz="4" w:space="0"/>
              <w:left w:val="single" w:color="auto" w:sz="4" w:space="0"/>
              <w:bottom w:val="single" w:color="auto" w:sz="4" w:space="0"/>
              <w:right w:val="single" w:color="auto" w:sz="4" w:space="0"/>
            </w:tcBorders>
            <w:vAlign w:val="center"/>
          </w:tcPr>
          <w:p>
            <w:pPr>
              <w:jc w:val="right"/>
              <w:rPr>
                <w:sz w:val="18"/>
              </w:rPr>
            </w:pPr>
            <w:r>
              <w:rPr>
                <w:kern w:val="0"/>
                <w:sz w:val="18"/>
              </w:rPr>
              <w:t>2,942,900</w:t>
            </w:r>
          </w:p>
        </w:tc>
        <w:tc>
          <w:tcPr>
            <w:tcW w:w="1042" w:type="dxa"/>
            <w:tcBorders>
              <w:top w:val="single" w:color="auto" w:sz="4" w:space="0"/>
              <w:left w:val="single" w:color="auto" w:sz="4" w:space="0"/>
              <w:bottom w:val="single" w:color="auto" w:sz="4" w:space="0"/>
              <w:right w:val="single" w:color="auto" w:sz="4" w:space="0"/>
            </w:tcBorders>
            <w:vAlign w:val="center"/>
          </w:tcPr>
          <w:p>
            <w:pPr>
              <w:jc w:val="right"/>
              <w:rPr>
                <w:sz w:val="18"/>
              </w:rPr>
            </w:pPr>
            <w:r>
              <w:rPr>
                <w:sz w:val="18"/>
              </w:rPr>
              <w:t>-</w:t>
            </w:r>
          </w:p>
        </w:tc>
        <w:tc>
          <w:tcPr>
            <w:tcW w:w="1522" w:type="dxa"/>
            <w:tcBorders>
              <w:top w:val="single" w:color="auto" w:sz="4" w:space="0"/>
              <w:left w:val="single" w:color="auto" w:sz="4" w:space="0"/>
              <w:bottom w:val="single" w:color="auto" w:sz="4" w:space="0"/>
              <w:right w:val="single" w:color="auto" w:sz="4" w:space="0"/>
            </w:tcBorders>
            <w:vAlign w:val="center"/>
          </w:tcPr>
          <w:p>
            <w:pPr>
              <w:jc w:val="right"/>
              <w:rPr>
                <w:kern w:val="0"/>
                <w:sz w:val="18"/>
              </w:rPr>
            </w:pPr>
            <w:r>
              <w:rPr>
                <w:kern w:val="0"/>
                <w:sz w:val="18"/>
              </w:rPr>
              <w:t xml:space="preserve">2,942,900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2615"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18"/>
                <w:lang w:eastAsia="zh-TW"/>
              </w:rPr>
            </w:pPr>
            <w:r>
              <w:rPr>
                <w:rFonts w:hint="eastAsia"/>
                <w:kern w:val="0"/>
                <w:sz w:val="18"/>
                <w:lang w:eastAsia="zh-TW"/>
              </w:rPr>
              <w:t>中國工商銀行股份有限公司－易方達新興成長靈活配置混合型證券投資基金</w:t>
            </w:r>
          </w:p>
        </w:tc>
        <w:tc>
          <w:tcPr>
            <w:tcW w:w="52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18"/>
              </w:rPr>
            </w:pPr>
            <w:r>
              <w:rPr>
                <w:rFonts w:hint="eastAsia"/>
                <w:kern w:val="0"/>
                <w:sz w:val="18"/>
              </w:rPr>
              <w:t>基金</w:t>
            </w:r>
          </w:p>
        </w:tc>
        <w:tc>
          <w:tcPr>
            <w:tcW w:w="669" w:type="dxa"/>
            <w:tcBorders>
              <w:top w:val="single" w:color="auto" w:sz="4" w:space="0"/>
              <w:left w:val="single" w:color="auto" w:sz="4" w:space="0"/>
              <w:bottom w:val="single" w:color="auto" w:sz="4" w:space="0"/>
              <w:right w:val="single" w:color="auto" w:sz="4" w:space="0"/>
            </w:tcBorders>
            <w:vAlign w:val="center"/>
          </w:tcPr>
          <w:p>
            <w:pPr>
              <w:jc w:val="right"/>
              <w:rPr>
                <w:kern w:val="0"/>
                <w:sz w:val="18"/>
              </w:rPr>
            </w:pPr>
            <w:r>
              <w:rPr>
                <w:kern w:val="0"/>
                <w:sz w:val="18"/>
              </w:rPr>
              <w:t>0.60</w:t>
            </w:r>
            <w:r>
              <w:rPr>
                <w:sz w:val="18"/>
                <w:szCs w:val="18"/>
              </w:rPr>
              <w:t>%</w:t>
            </w:r>
            <w:r>
              <w:rPr>
                <w:kern w:val="0"/>
                <w:sz w:val="18"/>
              </w:rPr>
              <w:t xml:space="preserve"> </w:t>
            </w:r>
          </w:p>
        </w:tc>
        <w:tc>
          <w:tcPr>
            <w:tcW w:w="1229" w:type="dxa"/>
            <w:tcBorders>
              <w:top w:val="single" w:color="auto" w:sz="4" w:space="0"/>
              <w:left w:val="single" w:color="auto" w:sz="4" w:space="0"/>
              <w:bottom w:val="single" w:color="auto" w:sz="4" w:space="0"/>
              <w:right w:val="single" w:color="auto" w:sz="4" w:space="0"/>
            </w:tcBorders>
            <w:vAlign w:val="center"/>
          </w:tcPr>
          <w:p>
            <w:pPr>
              <w:jc w:val="right"/>
              <w:rPr>
                <w:kern w:val="0"/>
                <w:sz w:val="18"/>
              </w:rPr>
            </w:pPr>
            <w:r>
              <w:rPr>
                <w:kern w:val="0"/>
                <w:sz w:val="18"/>
              </w:rPr>
              <w:t xml:space="preserve">2,861,397 </w:t>
            </w:r>
          </w:p>
        </w:tc>
        <w:tc>
          <w:tcPr>
            <w:tcW w:w="1269" w:type="dxa"/>
            <w:tcBorders>
              <w:top w:val="single" w:color="auto" w:sz="4" w:space="0"/>
              <w:left w:val="single" w:color="auto" w:sz="4" w:space="0"/>
              <w:bottom w:val="single" w:color="auto" w:sz="4" w:space="0"/>
              <w:right w:val="single" w:color="auto" w:sz="4" w:space="0"/>
            </w:tcBorders>
            <w:vAlign w:val="center"/>
          </w:tcPr>
          <w:p>
            <w:pPr>
              <w:jc w:val="right"/>
              <w:rPr>
                <w:sz w:val="18"/>
              </w:rPr>
            </w:pPr>
            <w:r>
              <w:rPr>
                <w:kern w:val="0"/>
                <w:sz w:val="18"/>
              </w:rPr>
              <w:t>2,861,397</w:t>
            </w:r>
          </w:p>
        </w:tc>
        <w:tc>
          <w:tcPr>
            <w:tcW w:w="1042" w:type="dxa"/>
            <w:tcBorders>
              <w:top w:val="single" w:color="auto" w:sz="4" w:space="0"/>
              <w:left w:val="single" w:color="auto" w:sz="4" w:space="0"/>
              <w:bottom w:val="single" w:color="auto" w:sz="4" w:space="0"/>
              <w:right w:val="single" w:color="auto" w:sz="4" w:space="0"/>
            </w:tcBorders>
            <w:vAlign w:val="center"/>
          </w:tcPr>
          <w:p>
            <w:pPr>
              <w:jc w:val="right"/>
              <w:rPr>
                <w:sz w:val="18"/>
              </w:rPr>
            </w:pPr>
            <w:r>
              <w:rPr>
                <w:sz w:val="18"/>
              </w:rPr>
              <w:t>-</w:t>
            </w:r>
          </w:p>
        </w:tc>
        <w:tc>
          <w:tcPr>
            <w:tcW w:w="1522" w:type="dxa"/>
            <w:tcBorders>
              <w:top w:val="single" w:color="auto" w:sz="4" w:space="0"/>
              <w:left w:val="single" w:color="auto" w:sz="4" w:space="0"/>
              <w:bottom w:val="single" w:color="auto" w:sz="4" w:space="0"/>
              <w:right w:val="single" w:color="auto" w:sz="4" w:space="0"/>
            </w:tcBorders>
            <w:vAlign w:val="center"/>
          </w:tcPr>
          <w:p>
            <w:pPr>
              <w:jc w:val="right"/>
              <w:rPr>
                <w:kern w:val="0"/>
                <w:sz w:val="18"/>
              </w:rPr>
            </w:pPr>
            <w:r>
              <w:rPr>
                <w:kern w:val="0"/>
                <w:sz w:val="18"/>
              </w:rPr>
              <w:t xml:space="preserve">2,861,397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2615"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18"/>
                <w:lang w:eastAsia="zh-TW"/>
              </w:rPr>
            </w:pPr>
            <w:r>
              <w:rPr>
                <w:rFonts w:hint="eastAsia"/>
                <w:kern w:val="0"/>
                <w:sz w:val="18"/>
                <w:lang w:eastAsia="zh-TW"/>
              </w:rPr>
              <w:t>香港中央結算有限公司</w:t>
            </w:r>
          </w:p>
        </w:tc>
        <w:tc>
          <w:tcPr>
            <w:tcW w:w="52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18"/>
              </w:rPr>
            </w:pPr>
            <w:r>
              <w:rPr>
                <w:rFonts w:hint="eastAsia"/>
                <w:kern w:val="0"/>
                <w:sz w:val="18"/>
              </w:rPr>
              <w:t>境外法人</w:t>
            </w:r>
          </w:p>
        </w:tc>
        <w:tc>
          <w:tcPr>
            <w:tcW w:w="669" w:type="dxa"/>
            <w:tcBorders>
              <w:top w:val="single" w:color="auto" w:sz="4" w:space="0"/>
              <w:left w:val="single" w:color="auto" w:sz="4" w:space="0"/>
              <w:bottom w:val="single" w:color="auto" w:sz="4" w:space="0"/>
              <w:right w:val="single" w:color="auto" w:sz="4" w:space="0"/>
            </w:tcBorders>
            <w:vAlign w:val="center"/>
          </w:tcPr>
          <w:p>
            <w:pPr>
              <w:jc w:val="right"/>
              <w:rPr>
                <w:kern w:val="0"/>
                <w:sz w:val="18"/>
              </w:rPr>
            </w:pPr>
            <w:r>
              <w:rPr>
                <w:kern w:val="0"/>
                <w:sz w:val="18"/>
              </w:rPr>
              <w:t>0.41</w:t>
            </w:r>
            <w:r>
              <w:rPr>
                <w:sz w:val="18"/>
                <w:szCs w:val="18"/>
              </w:rPr>
              <w:t>%</w:t>
            </w:r>
            <w:r>
              <w:rPr>
                <w:kern w:val="0"/>
                <w:sz w:val="18"/>
              </w:rPr>
              <w:t xml:space="preserve"> </w:t>
            </w:r>
          </w:p>
        </w:tc>
        <w:tc>
          <w:tcPr>
            <w:tcW w:w="1229" w:type="dxa"/>
            <w:tcBorders>
              <w:top w:val="single" w:color="auto" w:sz="4" w:space="0"/>
              <w:left w:val="single" w:color="auto" w:sz="4" w:space="0"/>
              <w:bottom w:val="single" w:color="auto" w:sz="4" w:space="0"/>
              <w:right w:val="single" w:color="auto" w:sz="4" w:space="0"/>
            </w:tcBorders>
            <w:vAlign w:val="center"/>
          </w:tcPr>
          <w:p>
            <w:pPr>
              <w:jc w:val="right"/>
              <w:rPr>
                <w:kern w:val="0"/>
                <w:sz w:val="18"/>
              </w:rPr>
            </w:pPr>
            <w:r>
              <w:rPr>
                <w:kern w:val="0"/>
                <w:sz w:val="18"/>
              </w:rPr>
              <w:t xml:space="preserve">1,981,088 </w:t>
            </w:r>
          </w:p>
        </w:tc>
        <w:tc>
          <w:tcPr>
            <w:tcW w:w="1269" w:type="dxa"/>
            <w:tcBorders>
              <w:top w:val="single" w:color="auto" w:sz="4" w:space="0"/>
              <w:left w:val="single" w:color="auto" w:sz="4" w:space="0"/>
              <w:bottom w:val="single" w:color="auto" w:sz="4" w:space="0"/>
              <w:right w:val="single" w:color="auto" w:sz="4" w:space="0"/>
            </w:tcBorders>
            <w:vAlign w:val="center"/>
          </w:tcPr>
          <w:p>
            <w:pPr>
              <w:jc w:val="right"/>
              <w:rPr>
                <w:sz w:val="18"/>
              </w:rPr>
            </w:pPr>
            <w:r>
              <w:rPr>
                <w:kern w:val="0"/>
                <w:sz w:val="18"/>
              </w:rPr>
              <w:t>1,981,088</w:t>
            </w:r>
          </w:p>
        </w:tc>
        <w:tc>
          <w:tcPr>
            <w:tcW w:w="1042" w:type="dxa"/>
            <w:tcBorders>
              <w:top w:val="single" w:color="auto" w:sz="4" w:space="0"/>
              <w:left w:val="single" w:color="auto" w:sz="4" w:space="0"/>
              <w:bottom w:val="single" w:color="auto" w:sz="4" w:space="0"/>
              <w:right w:val="single" w:color="auto" w:sz="4" w:space="0"/>
            </w:tcBorders>
            <w:vAlign w:val="center"/>
          </w:tcPr>
          <w:p>
            <w:pPr>
              <w:jc w:val="right"/>
              <w:rPr>
                <w:sz w:val="18"/>
              </w:rPr>
            </w:pPr>
            <w:r>
              <w:rPr>
                <w:sz w:val="18"/>
              </w:rPr>
              <w:t>-</w:t>
            </w:r>
          </w:p>
        </w:tc>
        <w:tc>
          <w:tcPr>
            <w:tcW w:w="1522" w:type="dxa"/>
            <w:tcBorders>
              <w:top w:val="single" w:color="auto" w:sz="4" w:space="0"/>
              <w:left w:val="single" w:color="auto" w:sz="4" w:space="0"/>
              <w:bottom w:val="single" w:color="auto" w:sz="4" w:space="0"/>
              <w:right w:val="single" w:color="auto" w:sz="4" w:space="0"/>
            </w:tcBorders>
            <w:vAlign w:val="center"/>
          </w:tcPr>
          <w:p>
            <w:pPr>
              <w:jc w:val="right"/>
              <w:rPr>
                <w:kern w:val="0"/>
                <w:sz w:val="18"/>
              </w:rPr>
            </w:pPr>
            <w:r>
              <w:rPr>
                <w:kern w:val="0"/>
                <w:sz w:val="18"/>
              </w:rPr>
              <w:t xml:space="preserve">1,981,088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2615"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18"/>
                <w:lang w:eastAsia="zh-TW"/>
              </w:rPr>
            </w:pPr>
            <w:r>
              <w:rPr>
                <w:rFonts w:hint="eastAsia"/>
                <w:kern w:val="0"/>
                <w:sz w:val="18"/>
                <w:lang w:eastAsia="zh-TW"/>
              </w:rPr>
              <w:t>廈門國際信託有限公司－廈門信託－鯤淩</w:t>
            </w:r>
            <w:r>
              <w:rPr>
                <w:kern w:val="0"/>
                <w:sz w:val="18"/>
                <w:lang w:eastAsia="zh-TW"/>
              </w:rPr>
              <w:t>17</w:t>
            </w:r>
            <w:r>
              <w:rPr>
                <w:rFonts w:hint="eastAsia"/>
                <w:kern w:val="0"/>
                <w:sz w:val="18"/>
                <w:lang w:eastAsia="zh-TW"/>
              </w:rPr>
              <w:t>號集合資金信託計劃</w:t>
            </w:r>
          </w:p>
        </w:tc>
        <w:tc>
          <w:tcPr>
            <w:tcW w:w="52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18"/>
              </w:rPr>
            </w:pPr>
            <w:r>
              <w:rPr>
                <w:rFonts w:hint="eastAsia"/>
                <w:kern w:val="0"/>
                <w:sz w:val="18"/>
              </w:rPr>
              <w:t>信託計劃</w:t>
            </w:r>
          </w:p>
        </w:tc>
        <w:tc>
          <w:tcPr>
            <w:tcW w:w="669" w:type="dxa"/>
            <w:tcBorders>
              <w:top w:val="single" w:color="auto" w:sz="4" w:space="0"/>
              <w:left w:val="single" w:color="auto" w:sz="4" w:space="0"/>
              <w:bottom w:val="single" w:color="auto" w:sz="4" w:space="0"/>
              <w:right w:val="single" w:color="auto" w:sz="4" w:space="0"/>
            </w:tcBorders>
            <w:vAlign w:val="center"/>
          </w:tcPr>
          <w:p>
            <w:pPr>
              <w:jc w:val="right"/>
              <w:rPr>
                <w:kern w:val="0"/>
                <w:sz w:val="18"/>
              </w:rPr>
            </w:pPr>
            <w:r>
              <w:rPr>
                <w:kern w:val="0"/>
                <w:sz w:val="18"/>
              </w:rPr>
              <w:t>0.40</w:t>
            </w:r>
            <w:r>
              <w:rPr>
                <w:sz w:val="18"/>
                <w:szCs w:val="18"/>
              </w:rPr>
              <w:t>%</w:t>
            </w:r>
            <w:r>
              <w:rPr>
                <w:kern w:val="0"/>
                <w:sz w:val="18"/>
              </w:rPr>
              <w:t xml:space="preserve"> </w:t>
            </w:r>
          </w:p>
        </w:tc>
        <w:tc>
          <w:tcPr>
            <w:tcW w:w="1229" w:type="dxa"/>
            <w:tcBorders>
              <w:top w:val="single" w:color="auto" w:sz="4" w:space="0"/>
              <w:left w:val="single" w:color="auto" w:sz="4" w:space="0"/>
              <w:bottom w:val="single" w:color="auto" w:sz="4" w:space="0"/>
              <w:right w:val="single" w:color="auto" w:sz="4" w:space="0"/>
            </w:tcBorders>
            <w:vAlign w:val="center"/>
          </w:tcPr>
          <w:p>
            <w:pPr>
              <w:jc w:val="right"/>
              <w:rPr>
                <w:kern w:val="0"/>
                <w:sz w:val="18"/>
              </w:rPr>
            </w:pPr>
            <w:r>
              <w:rPr>
                <w:kern w:val="0"/>
                <w:sz w:val="18"/>
              </w:rPr>
              <w:t xml:space="preserve">1,922,381 </w:t>
            </w:r>
          </w:p>
        </w:tc>
        <w:tc>
          <w:tcPr>
            <w:tcW w:w="1269" w:type="dxa"/>
            <w:tcBorders>
              <w:top w:val="single" w:color="auto" w:sz="4" w:space="0"/>
              <w:left w:val="single" w:color="auto" w:sz="4" w:space="0"/>
              <w:bottom w:val="single" w:color="auto" w:sz="4" w:space="0"/>
              <w:right w:val="single" w:color="auto" w:sz="4" w:space="0"/>
            </w:tcBorders>
            <w:vAlign w:val="center"/>
          </w:tcPr>
          <w:p>
            <w:pPr>
              <w:jc w:val="right"/>
              <w:rPr>
                <w:kern w:val="0"/>
                <w:sz w:val="18"/>
              </w:rPr>
            </w:pPr>
            <w:r>
              <w:rPr>
                <w:kern w:val="0"/>
                <w:sz w:val="18"/>
              </w:rPr>
              <w:t>1,922,381</w:t>
            </w:r>
          </w:p>
        </w:tc>
        <w:tc>
          <w:tcPr>
            <w:tcW w:w="1042" w:type="dxa"/>
            <w:tcBorders>
              <w:top w:val="single" w:color="auto" w:sz="4" w:space="0"/>
              <w:left w:val="single" w:color="auto" w:sz="4" w:space="0"/>
              <w:bottom w:val="single" w:color="auto" w:sz="4" w:space="0"/>
              <w:right w:val="single" w:color="auto" w:sz="4" w:space="0"/>
            </w:tcBorders>
            <w:vAlign w:val="center"/>
          </w:tcPr>
          <w:p>
            <w:pPr>
              <w:jc w:val="right"/>
              <w:rPr>
                <w:sz w:val="18"/>
              </w:rPr>
            </w:pPr>
            <w:r>
              <w:rPr>
                <w:sz w:val="18"/>
              </w:rPr>
              <w:t>-</w:t>
            </w:r>
          </w:p>
        </w:tc>
        <w:tc>
          <w:tcPr>
            <w:tcW w:w="1522" w:type="dxa"/>
            <w:tcBorders>
              <w:top w:val="single" w:color="auto" w:sz="4" w:space="0"/>
              <w:left w:val="single" w:color="auto" w:sz="4" w:space="0"/>
              <w:bottom w:val="single" w:color="auto" w:sz="4" w:space="0"/>
              <w:right w:val="single" w:color="auto" w:sz="4" w:space="0"/>
            </w:tcBorders>
            <w:vAlign w:val="center"/>
          </w:tcPr>
          <w:p>
            <w:pPr>
              <w:jc w:val="right"/>
              <w:rPr>
                <w:kern w:val="0"/>
                <w:sz w:val="18"/>
              </w:rPr>
            </w:pPr>
            <w:r>
              <w:rPr>
                <w:kern w:val="0"/>
                <w:sz w:val="18"/>
              </w:rPr>
              <w:t xml:space="preserve">1,922,381 </w:t>
            </w:r>
          </w:p>
        </w:tc>
      </w:tr>
    </w:tbl>
    <w:p>
      <w:pPr>
        <w:ind w:firstLine="420"/>
        <w:rPr>
          <w:b/>
        </w:rPr>
      </w:pPr>
    </w:p>
    <w:p>
      <w:pPr>
        <w:ind w:firstLine="420"/>
      </w:pPr>
    </w:p>
    <w:p>
      <w:pPr>
        <w:ind w:firstLine="420"/>
      </w:pPr>
    </w:p>
    <w:p>
      <w:pPr>
        <w:ind w:firstLine="420"/>
      </w:pPr>
    </w:p>
    <w:p>
      <w:pPr>
        <w:ind w:firstLine="420"/>
      </w:pPr>
    </w:p>
    <w:p>
      <w:pPr>
        <w:ind w:firstLine="420"/>
        <w:rPr>
          <w:lang w:eastAsia="zh-TW"/>
        </w:rPr>
      </w:pPr>
      <w:r>
        <w:rPr>
          <w:lang w:eastAsia="zh-TW"/>
        </w:rPr>
        <w:br w:type="page"/>
      </w:r>
      <w:r>
        <w:rPr>
          <w:rFonts w:hint="eastAsia"/>
          <w:lang w:eastAsia="zh-TW"/>
        </w:rPr>
        <w:t>（</w:t>
      </w:r>
      <w:r>
        <w:rPr>
          <w:lang w:eastAsia="zh-TW"/>
        </w:rPr>
        <w:t>3</w:t>
      </w:r>
      <w:r>
        <w:rPr>
          <w:rFonts w:hint="eastAsia"/>
          <w:lang w:eastAsia="zh-TW"/>
        </w:rPr>
        <w:t>）於二零一七年十二月三十一日，前</w:t>
      </w:r>
      <w:r>
        <w:rPr>
          <w:lang w:eastAsia="zh-TW"/>
        </w:rPr>
        <w:t>10名無限售條件股東持股情況</w:t>
      </w:r>
    </w:p>
    <w:p>
      <w:pPr>
        <w:ind w:firstLine="420"/>
        <w:rPr>
          <w:lang w:eastAsia="zh-TW"/>
        </w:rPr>
      </w:pPr>
    </w:p>
    <w:p>
      <w:pPr>
        <w:ind w:left="533" w:leftChars="254" w:right="235" w:rightChars="112" w:firstLine="4581" w:firstLineChars="2173"/>
      </w:pPr>
      <w:r>
        <w:rPr>
          <w:b/>
          <w:lang w:eastAsia="zh-TW"/>
        </w:rPr>
        <w:t xml:space="preserve">                </w:t>
      </w:r>
      <w:r>
        <w:rPr>
          <w:rFonts w:hint="eastAsia"/>
        </w:rPr>
        <w:t>單位：股</w:t>
      </w:r>
    </w:p>
    <w:tbl>
      <w:tblPr>
        <w:tblW w:w="8820" w:type="dxa"/>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
      <w:tblGrid>
        <w:gridCol w:w="2794"/>
        <w:gridCol w:w="3416"/>
        <w:gridCol w:w="2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rPr>
          <w:cantSplit/>
          <w:trHeight w:val="556" w:hRule="atLeast"/>
        </w:trPr>
        <w:tc>
          <w:tcPr>
            <w:tcW w:w="279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股東名稱</w:t>
            </w:r>
          </w:p>
        </w:tc>
        <w:tc>
          <w:tcPr>
            <w:tcW w:w="3416" w:type="dxa"/>
            <w:tcBorders>
              <w:top w:val="single" w:color="auto" w:sz="4" w:space="0"/>
              <w:left w:val="single" w:color="auto" w:sz="4" w:space="0"/>
              <w:bottom w:val="single" w:color="auto" w:sz="4" w:space="0"/>
              <w:right w:val="single" w:color="auto" w:sz="4" w:space="0"/>
            </w:tcBorders>
            <w:vAlign w:val="center"/>
          </w:tcPr>
          <w:p>
            <w:pPr>
              <w:jc w:val="center"/>
              <w:rPr>
                <w:sz w:val="18"/>
                <w:szCs w:val="18"/>
                <w:lang w:eastAsia="zh-TW"/>
              </w:rPr>
            </w:pPr>
            <w:r>
              <w:rPr>
                <w:rFonts w:hint="eastAsia"/>
                <w:sz w:val="18"/>
                <w:szCs w:val="18"/>
                <w:lang w:eastAsia="zh-TW"/>
              </w:rPr>
              <w:t>本報告期末持有無限售條件股份數量</w:t>
            </w:r>
          </w:p>
        </w:tc>
        <w:tc>
          <w:tcPr>
            <w:tcW w:w="2610" w:type="dxa"/>
            <w:tcBorders>
              <w:top w:val="single" w:color="auto" w:sz="4" w:space="0"/>
              <w:left w:val="single" w:color="auto" w:sz="4" w:space="0"/>
              <w:right w:val="single" w:color="auto" w:sz="4" w:space="0"/>
            </w:tcBorders>
            <w:vAlign w:val="center"/>
          </w:tcPr>
          <w:p>
            <w:pPr>
              <w:jc w:val="center"/>
              <w:rPr>
                <w:sz w:val="18"/>
                <w:szCs w:val="18"/>
              </w:rPr>
            </w:pPr>
            <w:r>
              <w:rPr>
                <w:sz w:val="18"/>
                <w:szCs w:val="18"/>
              </w:rPr>
              <w:t>股份種類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2794"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lang w:eastAsia="zh-TW"/>
              </w:rPr>
            </w:pPr>
            <w:r>
              <w:rPr>
                <w:kern w:val="0"/>
                <w:sz w:val="18"/>
                <w:szCs w:val="18"/>
                <w:lang w:eastAsia="zh-TW"/>
              </w:rPr>
              <w:t>山東新華醫藥集團有限責任公司</w:t>
            </w:r>
          </w:p>
        </w:tc>
        <w:tc>
          <w:tcPr>
            <w:tcW w:w="3416"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 xml:space="preserve">157,587,763 </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r>
              <w:rPr>
                <w:kern w:val="0"/>
                <w:sz w:val="18"/>
                <w:szCs w:val="18"/>
              </w:rPr>
              <w:t>人民幣普通股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2794"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lang w:eastAsia="zh-TW"/>
              </w:rPr>
            </w:pPr>
            <w:r>
              <w:rPr>
                <w:rFonts w:hint="eastAsia"/>
                <w:kern w:val="0"/>
                <w:sz w:val="18"/>
                <w:szCs w:val="18"/>
                <w:lang w:eastAsia="zh-TW"/>
              </w:rPr>
              <w:t>香港中央結算（代理人）有限公司</w:t>
            </w:r>
          </w:p>
        </w:tc>
        <w:tc>
          <w:tcPr>
            <w:tcW w:w="3416"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148,945,598</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r>
              <w:rPr>
                <w:kern w:val="0"/>
                <w:sz w:val="18"/>
                <w:szCs w:val="18"/>
              </w:rPr>
              <w:t>境外上市外資股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2794"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lang w:eastAsia="zh-TW"/>
              </w:rPr>
            </w:pPr>
            <w:r>
              <w:rPr>
                <w:rFonts w:hint="eastAsia"/>
                <w:kern w:val="0"/>
                <w:sz w:val="18"/>
                <w:szCs w:val="18"/>
                <w:lang w:eastAsia="zh-TW"/>
              </w:rPr>
              <w:t>招商銀行股份有限公司－匯添富醫療服務靈活配置混合型證券投資基金</w:t>
            </w:r>
          </w:p>
        </w:tc>
        <w:tc>
          <w:tcPr>
            <w:tcW w:w="3416"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 xml:space="preserve">11,065,642 </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r>
              <w:rPr>
                <w:kern w:val="0"/>
                <w:sz w:val="18"/>
                <w:szCs w:val="18"/>
              </w:rPr>
              <w:t>人民幣普通股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2794"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lang w:eastAsia="zh-TW"/>
              </w:rPr>
            </w:pPr>
            <w:r>
              <w:rPr>
                <w:rFonts w:hint="eastAsia"/>
                <w:kern w:val="0"/>
                <w:sz w:val="18"/>
                <w:szCs w:val="18"/>
                <w:lang w:eastAsia="zh-TW"/>
              </w:rPr>
              <w:t>全國社保基金一零七組合</w:t>
            </w:r>
          </w:p>
        </w:tc>
        <w:tc>
          <w:tcPr>
            <w:tcW w:w="3416"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 xml:space="preserve">3,309,367 </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r>
              <w:rPr>
                <w:kern w:val="0"/>
                <w:sz w:val="18"/>
                <w:szCs w:val="18"/>
              </w:rPr>
              <w:t>人民幣普通股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2794"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lang w:eastAsia="zh-TW"/>
              </w:rPr>
            </w:pPr>
            <w:r>
              <w:rPr>
                <w:rFonts w:hint="eastAsia"/>
                <w:kern w:val="0"/>
                <w:sz w:val="18"/>
                <w:szCs w:val="18"/>
                <w:lang w:eastAsia="zh-TW"/>
              </w:rPr>
              <w:t>全國社保基金四一二組合</w:t>
            </w:r>
          </w:p>
        </w:tc>
        <w:tc>
          <w:tcPr>
            <w:tcW w:w="3416"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 xml:space="preserve">2,942,900 </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r>
              <w:rPr>
                <w:kern w:val="0"/>
                <w:sz w:val="18"/>
                <w:szCs w:val="18"/>
              </w:rPr>
              <w:t>人民幣普通股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2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18"/>
                <w:szCs w:val="18"/>
                <w:lang w:eastAsia="zh-TW"/>
              </w:rPr>
            </w:pPr>
            <w:r>
              <w:rPr>
                <w:rFonts w:hint="eastAsia"/>
                <w:kern w:val="0"/>
                <w:sz w:val="18"/>
                <w:szCs w:val="18"/>
                <w:lang w:eastAsia="zh-TW"/>
              </w:rPr>
              <w:t>中國工商銀行股份有限公司－易方達新興成長靈活配置混合型證券投資基金</w:t>
            </w:r>
          </w:p>
        </w:tc>
        <w:tc>
          <w:tcPr>
            <w:tcW w:w="3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kern w:val="0"/>
                <w:sz w:val="18"/>
                <w:szCs w:val="18"/>
              </w:rPr>
            </w:pPr>
            <w:r>
              <w:rPr>
                <w:kern w:val="0"/>
                <w:sz w:val="18"/>
                <w:szCs w:val="18"/>
              </w:rPr>
              <w:t xml:space="preserve">2,861,397 </w:t>
            </w:r>
          </w:p>
        </w:tc>
        <w:tc>
          <w:tcPr>
            <w:tcW w:w="2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kern w:val="0"/>
                <w:sz w:val="18"/>
                <w:szCs w:val="18"/>
              </w:rPr>
            </w:pPr>
            <w:r>
              <w:rPr>
                <w:kern w:val="0"/>
                <w:sz w:val="18"/>
                <w:szCs w:val="18"/>
              </w:rPr>
              <w:t>人民幣普通股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2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18"/>
                <w:szCs w:val="18"/>
                <w:lang w:eastAsia="zh-TW"/>
              </w:rPr>
            </w:pPr>
            <w:r>
              <w:rPr>
                <w:rFonts w:hint="eastAsia"/>
                <w:kern w:val="0"/>
                <w:sz w:val="18"/>
                <w:szCs w:val="18"/>
                <w:lang w:eastAsia="zh-TW"/>
              </w:rPr>
              <w:t>香港中央結算有限公司</w:t>
            </w:r>
          </w:p>
        </w:tc>
        <w:tc>
          <w:tcPr>
            <w:tcW w:w="3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kern w:val="0"/>
                <w:sz w:val="18"/>
                <w:szCs w:val="18"/>
              </w:rPr>
            </w:pPr>
            <w:r>
              <w:rPr>
                <w:kern w:val="0"/>
                <w:sz w:val="18"/>
                <w:szCs w:val="18"/>
              </w:rPr>
              <w:t xml:space="preserve">1,981,088 </w:t>
            </w:r>
          </w:p>
        </w:tc>
        <w:tc>
          <w:tcPr>
            <w:tcW w:w="2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kern w:val="0"/>
                <w:sz w:val="18"/>
                <w:szCs w:val="18"/>
              </w:rPr>
            </w:pPr>
            <w:r>
              <w:rPr>
                <w:kern w:val="0"/>
                <w:sz w:val="18"/>
                <w:szCs w:val="18"/>
              </w:rPr>
              <w:t>人民幣普通股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2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18"/>
                <w:szCs w:val="18"/>
                <w:lang w:eastAsia="zh-TW"/>
              </w:rPr>
            </w:pPr>
            <w:r>
              <w:rPr>
                <w:rFonts w:hint="eastAsia"/>
                <w:kern w:val="0"/>
                <w:sz w:val="18"/>
                <w:szCs w:val="18"/>
                <w:lang w:eastAsia="zh-TW"/>
              </w:rPr>
              <w:t>廈門國際信託有限公司－廈門信託－鯤淩</w:t>
            </w:r>
            <w:r>
              <w:rPr>
                <w:kern w:val="0"/>
                <w:sz w:val="18"/>
                <w:szCs w:val="18"/>
                <w:lang w:eastAsia="zh-TW"/>
              </w:rPr>
              <w:t>17號集合資金信託</w:t>
            </w:r>
            <w:r>
              <w:rPr>
                <w:rFonts w:hint="eastAsia" w:cs="Tahoma"/>
                <w:kern w:val="0"/>
                <w:sz w:val="18"/>
                <w:szCs w:val="18"/>
                <w:lang w:eastAsia="zh-TW"/>
              </w:rPr>
              <w:t>計劃</w:t>
            </w:r>
          </w:p>
        </w:tc>
        <w:tc>
          <w:tcPr>
            <w:tcW w:w="3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kern w:val="0"/>
                <w:sz w:val="18"/>
                <w:szCs w:val="18"/>
              </w:rPr>
            </w:pPr>
            <w:r>
              <w:rPr>
                <w:kern w:val="0"/>
                <w:sz w:val="18"/>
                <w:szCs w:val="18"/>
              </w:rPr>
              <w:t xml:space="preserve">1,922,381 </w:t>
            </w:r>
          </w:p>
        </w:tc>
        <w:tc>
          <w:tcPr>
            <w:tcW w:w="2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kern w:val="0"/>
                <w:sz w:val="18"/>
                <w:szCs w:val="18"/>
              </w:rPr>
            </w:pPr>
            <w:r>
              <w:rPr>
                <w:kern w:val="0"/>
                <w:sz w:val="18"/>
                <w:szCs w:val="18"/>
              </w:rPr>
              <w:t>人民幣普通股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2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18"/>
                <w:szCs w:val="18"/>
                <w:lang w:eastAsia="zh-TW"/>
              </w:rPr>
            </w:pPr>
            <w:r>
              <w:rPr>
                <w:rFonts w:hint="eastAsia"/>
                <w:kern w:val="0"/>
                <w:sz w:val="18"/>
                <w:szCs w:val="18"/>
                <w:lang w:eastAsia="zh-TW"/>
              </w:rPr>
              <w:t>易方達基金－建設銀行－易方達研究精選</w:t>
            </w:r>
            <w:r>
              <w:rPr>
                <w:kern w:val="0"/>
                <w:sz w:val="18"/>
                <w:szCs w:val="18"/>
                <w:lang w:eastAsia="zh-TW"/>
              </w:rPr>
              <w:t>1號股票型資產管理</w:t>
            </w:r>
            <w:r>
              <w:rPr>
                <w:rFonts w:hint="eastAsia" w:cs="Tahoma"/>
                <w:kern w:val="0"/>
                <w:sz w:val="18"/>
                <w:szCs w:val="18"/>
                <w:lang w:eastAsia="zh-TW"/>
              </w:rPr>
              <w:t>計劃</w:t>
            </w:r>
          </w:p>
        </w:tc>
        <w:tc>
          <w:tcPr>
            <w:tcW w:w="3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kern w:val="0"/>
                <w:sz w:val="18"/>
                <w:szCs w:val="18"/>
              </w:rPr>
            </w:pPr>
            <w:r>
              <w:rPr>
                <w:kern w:val="0"/>
                <w:sz w:val="18"/>
                <w:szCs w:val="18"/>
              </w:rPr>
              <w:t xml:space="preserve">1,887,588 </w:t>
            </w:r>
          </w:p>
        </w:tc>
        <w:tc>
          <w:tcPr>
            <w:tcW w:w="2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kern w:val="0"/>
                <w:sz w:val="18"/>
                <w:szCs w:val="18"/>
              </w:rPr>
            </w:pPr>
            <w:r>
              <w:rPr>
                <w:kern w:val="0"/>
                <w:sz w:val="18"/>
                <w:szCs w:val="18"/>
              </w:rPr>
              <w:t>人民幣普通股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2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18"/>
                <w:szCs w:val="18"/>
                <w:lang w:eastAsia="zh-TW"/>
              </w:rPr>
            </w:pPr>
            <w:r>
              <w:rPr>
                <w:rFonts w:hint="eastAsia"/>
                <w:kern w:val="0"/>
                <w:sz w:val="18"/>
                <w:szCs w:val="18"/>
                <w:lang w:eastAsia="zh-TW"/>
              </w:rPr>
              <w:t>建信基金－招商銀行－建信乾元安享特定多個客戶資產管理</w:t>
            </w:r>
            <w:r>
              <w:rPr>
                <w:rFonts w:hint="eastAsia" w:cs="Tahoma"/>
                <w:kern w:val="0"/>
                <w:sz w:val="18"/>
                <w:szCs w:val="18"/>
                <w:lang w:eastAsia="zh-TW"/>
              </w:rPr>
              <w:t>計劃</w:t>
            </w:r>
          </w:p>
        </w:tc>
        <w:tc>
          <w:tcPr>
            <w:tcW w:w="3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kern w:val="0"/>
                <w:sz w:val="18"/>
                <w:szCs w:val="18"/>
              </w:rPr>
            </w:pPr>
            <w:r>
              <w:rPr>
                <w:kern w:val="0"/>
                <w:sz w:val="18"/>
                <w:szCs w:val="18"/>
              </w:rPr>
              <w:t xml:space="preserve">1,885,344 </w:t>
            </w:r>
          </w:p>
        </w:tc>
        <w:tc>
          <w:tcPr>
            <w:tcW w:w="2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kern w:val="0"/>
                <w:sz w:val="18"/>
                <w:szCs w:val="18"/>
              </w:rPr>
            </w:pPr>
            <w:r>
              <w:rPr>
                <w:kern w:val="0"/>
                <w:sz w:val="18"/>
                <w:szCs w:val="18"/>
              </w:rPr>
              <w:t>人民幣普通股</w:t>
            </w:r>
          </w:p>
        </w:tc>
      </w:tr>
    </w:tbl>
    <w:p>
      <w:pPr>
        <w:ind w:left="533" w:leftChars="254" w:right="235" w:rightChars="112" w:firstLine="4563" w:firstLineChars="2173"/>
      </w:pPr>
    </w:p>
    <w:p>
      <w:pPr>
        <w:ind w:right="235" w:rightChars="112"/>
      </w:pPr>
      <w:r>
        <w:rPr>
          <w:rFonts w:hint="eastAsia"/>
        </w:rPr>
        <w:t>附註：</w:t>
      </w:r>
    </w:p>
    <w:p>
      <w:pPr>
        <w:tabs>
          <w:tab w:val="left" w:pos="270"/>
          <w:tab w:val="left" w:pos="720"/>
        </w:tabs>
        <w:ind w:left="270" w:hanging="270"/>
        <w:rPr>
          <w:kern w:val="0"/>
          <w:lang w:eastAsia="zh-TW"/>
        </w:rPr>
      </w:pPr>
      <w:r>
        <w:rPr>
          <w:lang w:eastAsia="zh-TW"/>
        </w:rPr>
        <w:t xml:space="preserve">1. </w:t>
      </w:r>
      <w:r>
        <w:rPr>
          <w:rFonts w:hint="eastAsia"/>
          <w:lang w:eastAsia="zh-TW"/>
        </w:rPr>
        <w:t>截至二零一七年十二月三十一日，</w:t>
      </w:r>
      <w:r>
        <w:rPr>
          <w:rFonts w:hint="eastAsia"/>
          <w:kern w:val="0"/>
          <w:lang w:eastAsia="zh-TW"/>
        </w:rPr>
        <w:t>山東新華醫藥集團有限責任公司及維斌有限公司（「</w:t>
      </w:r>
      <w:r>
        <w:rPr>
          <w:rFonts w:hint="eastAsia"/>
          <w:b/>
          <w:kern w:val="0"/>
          <w:lang w:eastAsia="zh-TW"/>
        </w:rPr>
        <w:t>維斌</w:t>
      </w:r>
      <w:r>
        <w:rPr>
          <w:rFonts w:hint="eastAsia"/>
          <w:kern w:val="0"/>
          <w:lang w:eastAsia="zh-TW"/>
        </w:rPr>
        <w:t>」）分別屬於華魯控股集團有限公司（「</w:t>
      </w:r>
      <w:r>
        <w:rPr>
          <w:rFonts w:hint="eastAsia"/>
          <w:b/>
          <w:kern w:val="0"/>
          <w:lang w:eastAsia="zh-TW"/>
        </w:rPr>
        <w:t>華魯控股</w:t>
      </w:r>
      <w:r>
        <w:rPr>
          <w:rFonts w:hint="eastAsia"/>
          <w:kern w:val="0"/>
          <w:lang w:eastAsia="zh-TW"/>
        </w:rPr>
        <w:t>」）的直接全資附屬公司及間接全資附屬公司，而山東新華醫藥集團有限公司及維斌分別持有本公司</w:t>
      </w:r>
      <w:r>
        <w:rPr>
          <w:kern w:val="0"/>
          <w:lang w:eastAsia="zh-TW"/>
        </w:rPr>
        <w:t>157,587,763</w:t>
      </w:r>
      <w:r>
        <w:rPr>
          <w:rFonts w:hint="eastAsia"/>
          <w:kern w:val="0"/>
          <w:lang w:eastAsia="zh-TW"/>
        </w:rPr>
        <w:t>股</w:t>
      </w:r>
      <w:r>
        <w:rPr>
          <w:kern w:val="0"/>
          <w:lang w:eastAsia="zh-TW"/>
        </w:rPr>
        <w:t>A</w:t>
      </w:r>
      <w:r>
        <w:rPr>
          <w:rFonts w:hint="eastAsia"/>
          <w:kern w:val="0"/>
          <w:lang w:eastAsia="zh-TW"/>
        </w:rPr>
        <w:t>股及</w:t>
      </w:r>
      <w:r>
        <w:rPr>
          <w:lang w:eastAsia="zh-TW"/>
        </w:rPr>
        <w:t>13,686,000</w:t>
      </w:r>
      <w:r>
        <w:rPr>
          <w:rFonts w:hint="eastAsia"/>
          <w:lang w:eastAsia="zh-TW"/>
        </w:rPr>
        <w:t>股</w:t>
      </w:r>
      <w:r>
        <w:rPr>
          <w:lang w:eastAsia="zh-TW"/>
        </w:rPr>
        <w:t>H</w:t>
      </w:r>
      <w:r>
        <w:rPr>
          <w:rFonts w:hint="eastAsia"/>
          <w:lang w:eastAsia="zh-TW"/>
        </w:rPr>
        <w:t>股（境外上市外資股），分別約佔公司已發行股本</w:t>
      </w:r>
      <w:r>
        <w:rPr>
          <w:lang w:eastAsia="zh-TW"/>
        </w:rPr>
        <w:t>32.94%</w:t>
      </w:r>
      <w:r>
        <w:rPr>
          <w:rFonts w:hint="eastAsia"/>
          <w:lang w:eastAsia="zh-TW"/>
        </w:rPr>
        <w:t>及</w:t>
      </w:r>
      <w:r>
        <w:rPr>
          <w:lang w:eastAsia="zh-TW"/>
        </w:rPr>
        <w:t>2.86%</w:t>
      </w:r>
      <w:r>
        <w:rPr>
          <w:rFonts w:hint="eastAsia" w:cs="Tahoma"/>
          <w:kern w:val="0"/>
          <w:szCs w:val="21"/>
          <w:lang w:eastAsia="zh-TW"/>
        </w:rPr>
        <w:t>。</w:t>
      </w:r>
      <w:r>
        <w:rPr>
          <w:rFonts w:hint="eastAsia"/>
          <w:lang w:eastAsia="zh-TW"/>
        </w:rPr>
        <w:t>因此，</w:t>
      </w:r>
      <w:r>
        <w:rPr>
          <w:rFonts w:hint="eastAsia"/>
          <w:kern w:val="0"/>
          <w:lang w:eastAsia="zh-TW"/>
        </w:rPr>
        <w:t>華魯控股被視為擁有上述對本公司的權益。</w:t>
      </w:r>
    </w:p>
    <w:p>
      <w:pPr>
        <w:spacing w:line="340" w:lineRule="exact"/>
        <w:ind w:left="270" w:hanging="270"/>
        <w:rPr>
          <w:lang w:eastAsia="zh-TW"/>
        </w:rPr>
      </w:pPr>
      <w:r>
        <w:rPr>
          <w:lang w:eastAsia="zh-TW"/>
        </w:rPr>
        <w:t xml:space="preserve">2. </w:t>
      </w:r>
      <w:r>
        <w:rPr>
          <w:rFonts w:hint="eastAsia"/>
          <w:lang w:eastAsia="zh-TW"/>
        </w:rPr>
        <w:t>上述股東關聯關係或一致行動的說明：</w:t>
      </w:r>
    </w:p>
    <w:p>
      <w:pPr>
        <w:spacing w:line="240" w:lineRule="auto"/>
        <w:ind w:left="270"/>
        <w:rPr>
          <w:szCs w:val="18"/>
          <w:lang w:eastAsia="zh-TW"/>
        </w:rPr>
      </w:pPr>
      <w:r>
        <w:rPr>
          <w:rFonts w:hint="eastAsia"/>
          <w:lang w:eastAsia="zh-TW"/>
        </w:rPr>
        <w:t>本公司董事未知上述十大股東之間是否存在關聯關係（定義見《深圳證券交易所股票上市規則》）或中國證券監督管理委員會頒佈的《上市公司收購管理辦法》規定的一致行動人，也未知外資股東之間是否存在關聯關係或《上市公司收購管理辦法》規定的一致行動人。</w:t>
      </w:r>
      <w:r>
        <w:rPr>
          <w:szCs w:val="18"/>
          <w:lang w:eastAsia="zh-TW"/>
        </w:rPr>
        <w:t xml:space="preserve"> </w:t>
      </w:r>
    </w:p>
    <w:p>
      <w:pPr>
        <w:spacing w:line="240" w:lineRule="auto"/>
        <w:ind w:left="270"/>
        <w:rPr>
          <w:lang w:eastAsia="zh-TW"/>
        </w:rPr>
      </w:pPr>
      <w:r>
        <w:rPr>
          <w:rFonts w:hint="eastAsia"/>
          <w:lang w:eastAsia="zh-TW"/>
        </w:rPr>
        <w:t>本公司董事未知上述無限售條件股東之間、上述無限售條件股東與十大股東之間是否存在關聯關係、也不知是否存在《上市公司收購管理辦法》規定的一致行動人。</w:t>
      </w:r>
    </w:p>
    <w:p>
      <w:pPr>
        <w:spacing w:line="340" w:lineRule="exact"/>
        <w:rPr>
          <w:lang w:eastAsia="zh-TW"/>
        </w:rPr>
      </w:pPr>
    </w:p>
    <w:p>
      <w:pPr>
        <w:ind w:left="270" w:right="235" w:rightChars="112" w:hanging="270"/>
        <w:rPr>
          <w:lang w:eastAsia="zh-TW"/>
        </w:rPr>
      </w:pPr>
      <w:r>
        <w:rPr>
          <w:lang w:eastAsia="zh-TW"/>
        </w:rPr>
        <w:t xml:space="preserve">3. </w:t>
      </w:r>
      <w:r>
        <w:rPr>
          <w:rFonts w:hint="eastAsia"/>
          <w:lang w:eastAsia="zh-TW"/>
        </w:rPr>
        <w:t>除已於上述披露，據本公司所知直接持有本公司股份</w:t>
      </w:r>
      <w:r>
        <w:rPr>
          <w:lang w:eastAsia="zh-TW"/>
        </w:rPr>
        <w:t>5%</w:t>
      </w:r>
      <w:r>
        <w:rPr>
          <w:rFonts w:hint="eastAsia"/>
          <w:lang w:eastAsia="zh-TW"/>
        </w:rPr>
        <w:t>以上的境內股東為山東新華醫藥集團有限責任公司。</w:t>
      </w:r>
    </w:p>
    <w:p>
      <w:pPr>
        <w:ind w:right="235" w:rightChars="112" w:firstLine="420" w:firstLineChars="200"/>
        <w:rPr>
          <w:lang w:eastAsia="zh-TW"/>
        </w:rPr>
      </w:pPr>
    </w:p>
    <w:p>
      <w:pPr>
        <w:ind w:left="270" w:right="235" w:rightChars="112" w:hanging="270"/>
        <w:rPr>
          <w:lang w:eastAsia="zh-TW"/>
        </w:rPr>
      </w:pPr>
      <w:r>
        <w:rPr>
          <w:lang w:eastAsia="zh-TW"/>
        </w:rPr>
        <w:t xml:space="preserve">4. </w:t>
      </w:r>
      <w:r>
        <w:rPr>
          <w:rFonts w:hint="eastAsia"/>
          <w:lang w:eastAsia="zh-TW"/>
        </w:rPr>
        <w:t>除上文所披露及據董事所知，於</w:t>
      </w:r>
      <w:r>
        <w:rPr>
          <w:lang w:eastAsia="zh-TW"/>
        </w:rPr>
        <w:t>2017年12</w:t>
      </w:r>
      <w:r>
        <w:rPr>
          <w:rFonts w:hint="eastAsia"/>
          <w:lang w:eastAsia="zh-TW"/>
        </w:rPr>
        <w:t>月</w:t>
      </w:r>
      <w:r>
        <w:rPr>
          <w:lang w:eastAsia="zh-TW"/>
        </w:rPr>
        <w:t>31</w:t>
      </w:r>
      <w:r>
        <w:rPr>
          <w:rFonts w:hint="eastAsia"/>
          <w:lang w:eastAsia="zh-TW"/>
        </w:rPr>
        <w:t>日，概無其他人士（不包括董事、監事、本公司的最高行政人員或高級管理人員</w:t>
      </w:r>
      <w:r>
        <w:rPr>
          <w:lang w:eastAsia="zh-TW"/>
        </w:rPr>
        <w:t>(「</w:t>
      </w:r>
      <w:r>
        <w:rPr>
          <w:rFonts w:hint="eastAsia"/>
          <w:b/>
          <w:lang w:eastAsia="zh-TW"/>
        </w:rPr>
        <w:t>高管</w:t>
      </w:r>
      <w:r>
        <w:rPr>
          <w:rFonts w:hint="eastAsia"/>
          <w:lang w:eastAsia="zh-TW"/>
        </w:rPr>
        <w:t>」</w:t>
      </w:r>
      <w:r>
        <w:rPr>
          <w:lang w:eastAsia="zh-TW"/>
        </w:rPr>
        <w:t>)）</w:t>
      </w:r>
      <w:r>
        <w:rPr>
          <w:rFonts w:hint="eastAsia"/>
          <w:lang w:eastAsia="zh-TW"/>
        </w:rPr>
        <w:t>於本公司的股份或相關股份（視乎況而定）中擁有的權益或淡倉，為須根據香港法例第</w:t>
      </w:r>
      <w:r>
        <w:rPr>
          <w:lang w:eastAsia="zh-TW"/>
        </w:rPr>
        <w:t>571章《證券及期貨條例》第XV部2及第3分部的條文而須向本公司及香港聯交所作出披露，及為須根據《證券及期貨條例》第336條規定存置的</w:t>
      </w:r>
      <w:r>
        <w:rPr>
          <w:rFonts w:hint="eastAsia"/>
          <w:lang w:eastAsia="zh-TW"/>
        </w:rPr>
        <w:t>登記冊所記錄的權益，或其為本公司的主要股東（定義見香港聯交所所發出之《香港聯交所證券上市規則》（「</w:t>
      </w:r>
      <w:r>
        <w:rPr>
          <w:rFonts w:hint="eastAsia"/>
          <w:b/>
          <w:lang w:eastAsia="zh-TW"/>
        </w:rPr>
        <w:t>上市規則</w:t>
      </w:r>
      <w:r>
        <w:rPr>
          <w:rFonts w:hint="eastAsia"/>
          <w:lang w:eastAsia="zh-TW"/>
        </w:rPr>
        <w:t>」）。</w:t>
      </w:r>
    </w:p>
    <w:p>
      <w:pPr>
        <w:ind w:left="270" w:right="235" w:rightChars="112" w:hanging="270"/>
        <w:rPr>
          <w:lang w:eastAsia="zh-TW"/>
        </w:rPr>
      </w:pPr>
    </w:p>
    <w:p>
      <w:pPr>
        <w:pStyle w:val="24"/>
        <w:numPr>
          <w:ilvl w:val="0"/>
          <w:numId w:val="1"/>
        </w:numPr>
        <w:rPr>
          <w:rFonts w:ascii="Times New Roman" w:hAnsi="Times New Roman"/>
          <w:b/>
          <w:sz w:val="21"/>
          <w:lang w:eastAsia="zh-TW"/>
        </w:rPr>
      </w:pPr>
      <w:r>
        <w:rPr>
          <w:rFonts w:hint="eastAsia" w:ascii="Times New Roman" w:hAnsi="Times New Roman"/>
          <w:b/>
          <w:sz w:val="21"/>
          <w:lang w:eastAsia="zh-TW"/>
        </w:rPr>
        <w:t>就本公司所知，本報告期內控股股東</w:t>
      </w:r>
      <w:r>
        <w:rPr>
          <w:rFonts w:ascii="Times New Roman" w:hAnsi="Times New Roman"/>
          <w:b/>
          <w:sz w:val="21"/>
          <w:lang w:eastAsia="zh-TW"/>
        </w:rPr>
        <w:t>(</w:t>
      </w:r>
      <w:r>
        <w:rPr>
          <w:rFonts w:hint="eastAsia" w:ascii="Times New Roman" w:hAnsi="Times New Roman"/>
          <w:b/>
          <w:sz w:val="21"/>
          <w:lang w:eastAsia="zh-TW"/>
        </w:rPr>
        <w:t>定義見上市規則</w:t>
      </w:r>
      <w:r>
        <w:rPr>
          <w:rFonts w:ascii="Times New Roman" w:hAnsi="Times New Roman"/>
          <w:b/>
          <w:sz w:val="21"/>
          <w:lang w:eastAsia="zh-TW"/>
        </w:rPr>
        <w:t>)</w:t>
      </w:r>
      <w:r>
        <w:rPr>
          <w:rFonts w:hint="eastAsia" w:ascii="Times New Roman" w:hAnsi="Times New Roman"/>
          <w:b/>
          <w:sz w:val="21"/>
          <w:lang w:eastAsia="zh-TW"/>
        </w:rPr>
        <w:t>無變更情況。</w:t>
      </w:r>
    </w:p>
    <w:p>
      <w:pPr>
        <w:pStyle w:val="24"/>
        <w:rPr>
          <w:rFonts w:ascii="Times New Roman" w:hAnsi="Times New Roman"/>
          <w:sz w:val="21"/>
          <w:lang w:eastAsia="zh-TW"/>
        </w:rPr>
      </w:pPr>
    </w:p>
    <w:p>
      <w:pPr>
        <w:pStyle w:val="24"/>
        <w:numPr>
          <w:ilvl w:val="0"/>
          <w:numId w:val="3"/>
        </w:numPr>
        <w:rPr>
          <w:rFonts w:ascii="Times New Roman" w:hAnsi="Times New Roman"/>
          <w:b/>
          <w:sz w:val="21"/>
          <w:lang w:eastAsia="zh-TW"/>
        </w:rPr>
      </w:pPr>
      <w:r>
        <w:rPr>
          <w:rFonts w:hint="eastAsia" w:ascii="Times New Roman" w:hAnsi="Times New Roman"/>
          <w:b/>
          <w:sz w:val="21"/>
          <w:lang w:eastAsia="zh-TW"/>
        </w:rPr>
        <w:t>股息及資本公積金轉增股本</w:t>
      </w:r>
    </w:p>
    <w:p>
      <w:pPr>
        <w:widowControl/>
        <w:tabs>
          <w:tab w:val="left" w:pos="566"/>
        </w:tabs>
        <w:ind w:left="270"/>
        <w:jc w:val="left"/>
        <w:rPr>
          <w:rFonts w:cs="宋体"/>
          <w:szCs w:val="21"/>
          <w:lang w:eastAsia="zh-TW"/>
        </w:rPr>
      </w:pPr>
      <w:r>
        <w:rPr>
          <w:rFonts w:hint="eastAsia" w:cs="宋体"/>
          <w:szCs w:val="21"/>
          <w:lang w:eastAsia="zh-TW"/>
        </w:rPr>
        <w:t>董事會建議</w:t>
      </w:r>
      <w:r>
        <w:rPr>
          <w:rFonts w:cs="宋体"/>
          <w:szCs w:val="21"/>
          <w:lang w:eastAsia="zh-TW"/>
        </w:rPr>
        <w:t>2017</w:t>
      </w:r>
      <w:r>
        <w:rPr>
          <w:rFonts w:hint="eastAsia" w:cs="宋体"/>
          <w:szCs w:val="21"/>
          <w:lang w:eastAsia="zh-TW"/>
        </w:rPr>
        <w:t>年度建議利潤分配預案為：基於本公司截至二零一七年十二月三十一日的已發行股數總數</w:t>
      </w:r>
      <w:r>
        <w:rPr>
          <w:rFonts w:cs="宋体"/>
          <w:szCs w:val="21"/>
          <w:lang w:eastAsia="zh-TW"/>
        </w:rPr>
        <w:t>478,353,421（包括328,353,421股A股及150,000,000股H股）</w:t>
      </w:r>
      <w:r>
        <w:rPr>
          <w:rFonts w:hint="eastAsia" w:cs="宋体"/>
          <w:szCs w:val="21"/>
          <w:lang w:eastAsia="zh-TW"/>
        </w:rPr>
        <w:t>，</w:t>
      </w:r>
      <w:r>
        <w:rPr>
          <w:rFonts w:cs="宋体"/>
          <w:szCs w:val="21"/>
          <w:lang w:eastAsia="zh-TW"/>
        </w:rPr>
        <w:t xml:space="preserve">(i) </w:t>
      </w:r>
      <w:r>
        <w:rPr>
          <w:rFonts w:hint="eastAsia" w:cs="宋体"/>
          <w:szCs w:val="21"/>
          <w:lang w:eastAsia="zh-TW"/>
        </w:rPr>
        <w:t>向股東派發</w:t>
      </w:r>
      <w:r>
        <w:rPr>
          <w:rFonts w:cs="宋体"/>
          <w:szCs w:val="21"/>
          <w:lang w:eastAsia="zh-TW"/>
        </w:rPr>
        <w:t>2017年末期股息每股人民幣0.05元</w:t>
      </w:r>
      <w:r>
        <w:rPr>
          <w:rFonts w:hint="eastAsia" w:cs="宋体"/>
          <w:szCs w:val="21"/>
          <w:lang w:eastAsia="zh-TW"/>
        </w:rPr>
        <w:t>（</w:t>
      </w:r>
      <w:r>
        <w:rPr>
          <w:rFonts w:cs="宋体"/>
          <w:szCs w:val="21"/>
          <w:lang w:eastAsia="zh-TW"/>
        </w:rPr>
        <w:t>含稅）</w:t>
      </w:r>
      <w:r>
        <w:rPr>
          <w:rFonts w:hint="eastAsia" w:cs="宋体"/>
          <w:szCs w:val="21"/>
          <w:lang w:eastAsia="zh-TW"/>
        </w:rPr>
        <w:t>，</w:t>
      </w:r>
      <w:r>
        <w:rPr>
          <w:rFonts w:cs="宋体"/>
          <w:szCs w:val="21"/>
          <w:lang w:eastAsia="zh-TW"/>
        </w:rPr>
        <w:t xml:space="preserve">(ii) </w:t>
      </w:r>
      <w:r>
        <w:rPr>
          <w:rFonts w:hint="eastAsia" w:cs="宋体"/>
          <w:szCs w:val="21"/>
          <w:lang w:eastAsia="zh-TW"/>
        </w:rPr>
        <w:t>並以資本公積金轉增股本每</w:t>
      </w:r>
      <w:r>
        <w:rPr>
          <w:rFonts w:cs="宋体"/>
          <w:szCs w:val="21"/>
          <w:lang w:eastAsia="zh-TW"/>
        </w:rPr>
        <w:t>10股轉增發行3股。上述2017</w:t>
      </w:r>
      <w:r>
        <w:rPr>
          <w:rFonts w:hint="eastAsia" w:cs="宋体"/>
          <w:szCs w:val="21"/>
          <w:lang w:eastAsia="zh-TW"/>
        </w:rPr>
        <w:t>年期終</w:t>
      </w:r>
      <w:r>
        <w:rPr>
          <w:rFonts w:hint="eastAsia"/>
          <w:lang w:eastAsia="zh-TW"/>
        </w:rPr>
        <w:t>股息分派及資本公積金轉增股本</w:t>
      </w:r>
      <w:r>
        <w:rPr>
          <w:rFonts w:hint="eastAsia" w:cs="宋体"/>
          <w:szCs w:val="21"/>
          <w:lang w:eastAsia="zh-TW"/>
        </w:rPr>
        <w:t>尚須股東批准、向聯交所申請批准新</w:t>
      </w:r>
      <w:r>
        <w:rPr>
          <w:rFonts w:cs="宋体"/>
          <w:szCs w:val="21"/>
          <w:lang w:eastAsia="zh-TW"/>
        </w:rPr>
        <w:t>H</w:t>
      </w:r>
      <w:r>
        <w:rPr>
          <w:rFonts w:hint="eastAsia" w:cs="宋体"/>
          <w:szCs w:val="21"/>
          <w:lang w:eastAsia="zh-TW"/>
        </w:rPr>
        <w:t>股上市及買賣</w:t>
      </w:r>
      <w:r>
        <w:rPr>
          <w:rFonts w:cs="宋体"/>
          <w:szCs w:val="21"/>
          <w:lang w:eastAsia="zh-TW"/>
        </w:rPr>
        <w:t>(</w:t>
      </w:r>
      <w:r>
        <w:rPr>
          <w:rFonts w:hint="eastAsia" w:cs="宋体"/>
          <w:szCs w:val="21"/>
          <w:lang w:eastAsia="zh-TW"/>
        </w:rPr>
        <w:t>就資本公積金轉增股份而言</w:t>
      </w:r>
      <w:r>
        <w:rPr>
          <w:rFonts w:cs="宋体"/>
          <w:szCs w:val="21"/>
          <w:lang w:eastAsia="zh-TW"/>
        </w:rPr>
        <w:t>)</w:t>
      </w:r>
      <w:r>
        <w:rPr>
          <w:rFonts w:hint="eastAsia" w:cs="宋体"/>
          <w:szCs w:val="21"/>
          <w:lang w:eastAsia="zh-TW"/>
        </w:rPr>
        <w:t>以及修訂公司章程以反映公積金轉增股份所引致的本公司股本架構及註冊股本變動等等，方可作實，本公司股東及潛在投資者買賣本公司證券時務須謹慎行事。</w:t>
      </w:r>
    </w:p>
    <w:p>
      <w:pPr>
        <w:widowControl/>
        <w:tabs>
          <w:tab w:val="left" w:pos="566"/>
        </w:tabs>
        <w:ind w:left="270"/>
        <w:jc w:val="left"/>
        <w:rPr>
          <w:rFonts w:cs="宋体"/>
          <w:szCs w:val="21"/>
          <w:lang w:eastAsia="zh-TW"/>
        </w:rPr>
      </w:pPr>
    </w:p>
    <w:p>
      <w:pPr>
        <w:ind w:left="270" w:hanging="270"/>
        <w:rPr>
          <w:rFonts w:hint="eastAsia" w:cs="宋体"/>
          <w:szCs w:val="21"/>
          <w:lang w:eastAsia="zh-TW"/>
        </w:rPr>
      </w:pPr>
      <w:r>
        <w:rPr>
          <w:rFonts w:cs="宋体"/>
          <w:szCs w:val="21"/>
          <w:lang w:eastAsia="zh-TW"/>
        </w:rPr>
        <w:tab/>
      </w:r>
      <w:r>
        <w:rPr>
          <w:rFonts w:hint="eastAsia" w:cs="宋体"/>
          <w:szCs w:val="21"/>
          <w:lang w:eastAsia="zh-TW"/>
        </w:rPr>
        <w:t>一份載有包括建議現金股息的支付貨幣及適用外匯匯率、資本公積金轉增股本、其相關記錄日及暫停股東過戶登記期間、對公司章程的建議修訂等進一步詳情的通函將適時寄發予股東。</w:t>
      </w:r>
    </w:p>
    <w:p>
      <w:pPr>
        <w:ind w:left="270" w:hanging="270"/>
        <w:rPr>
          <w:rFonts w:ascii="Times New Roman" w:hAnsi="Times New Roman" w:cs="FangSong_GB2312"/>
          <w:sz w:val="24"/>
          <w:lang w:eastAsia="zh-TW"/>
        </w:rPr>
      </w:pPr>
      <w:r>
        <w:rPr>
          <w:rFonts w:hint="eastAsia" w:cs="宋体"/>
          <w:szCs w:val="21"/>
          <w:lang w:eastAsia="zh-TW"/>
        </w:rPr>
        <w:br w:type="page"/>
      </w:r>
    </w:p>
    <w:p>
      <w:pPr>
        <w:pStyle w:val="24"/>
        <w:numPr>
          <w:ilvl w:val="0"/>
          <w:numId w:val="3"/>
        </w:numPr>
        <w:rPr>
          <w:rFonts w:ascii="Times New Roman" w:hAnsi="Times New Roman"/>
          <w:b/>
          <w:sz w:val="22"/>
          <w:lang w:eastAsia="zh-TW"/>
        </w:rPr>
      </w:pPr>
      <w:r>
        <w:rPr>
          <w:rFonts w:hint="eastAsia" w:ascii="Times New Roman" w:hAnsi="Times New Roman"/>
          <w:b/>
          <w:sz w:val="22"/>
          <w:lang w:eastAsia="zh-TW"/>
        </w:rPr>
        <w:t>董事、監事、高管人員情況</w:t>
      </w:r>
    </w:p>
    <w:p>
      <w:pPr>
        <w:rPr>
          <w:b/>
          <w:lang w:eastAsia="zh-TW"/>
        </w:rPr>
      </w:pPr>
    </w:p>
    <w:p>
      <w:pPr>
        <w:pStyle w:val="24"/>
        <w:rPr>
          <w:rFonts w:hAnsi="宋体"/>
          <w:b/>
          <w:sz w:val="22"/>
          <w:lang w:eastAsia="zh-TW"/>
        </w:rPr>
      </w:pPr>
      <w:r>
        <w:rPr>
          <w:rFonts w:hint="eastAsia" w:hAnsi="宋体"/>
          <w:b/>
          <w:sz w:val="22"/>
          <w:lang w:eastAsia="zh-TW"/>
        </w:rPr>
        <w:t>本公司董事、監事及高管人員變動及對本公司證券權益情況如下</w:t>
      </w:r>
      <w:r>
        <w:rPr>
          <w:rFonts w:hAnsi="宋体"/>
          <w:b/>
          <w:sz w:val="22"/>
          <w:lang w:eastAsia="zh-TW"/>
        </w:rPr>
        <w:t>:</w:t>
      </w:r>
    </w:p>
    <w:p>
      <w:pPr>
        <w:pStyle w:val="24"/>
        <w:rPr>
          <w:rFonts w:ascii="Times New Roman" w:hAnsi="Times New Roman"/>
          <w:b/>
          <w:lang w:eastAsia="zh-TW"/>
        </w:rPr>
      </w:pPr>
    </w:p>
    <w:tbl>
      <w:tblPr>
        <w:tblW w:w="9070"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158"/>
        <w:gridCol w:w="2081"/>
        <w:gridCol w:w="2130"/>
        <w:gridCol w:w="1620"/>
        <w:gridCol w:w="1973"/>
        <w:gridCol w:w="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108" w:type="dxa"/>
        </w:trPr>
        <w:tc>
          <w:tcPr>
            <w:tcW w:w="1158" w:type="dxa"/>
            <w:vAlign w:val="center"/>
          </w:tcPr>
          <w:p>
            <w:pPr>
              <w:ind w:firstLine="105" w:firstLineChars="50"/>
              <w:jc w:val="center"/>
            </w:pPr>
            <w:r>
              <w:rPr>
                <w:rFonts w:hint="eastAsia"/>
              </w:rPr>
              <w:t>姓名</w:t>
            </w:r>
          </w:p>
        </w:tc>
        <w:tc>
          <w:tcPr>
            <w:tcW w:w="2081" w:type="dxa"/>
            <w:vAlign w:val="center"/>
          </w:tcPr>
          <w:p>
            <w:pPr>
              <w:pStyle w:val="25"/>
              <w:jc w:val="center"/>
              <w:rPr>
                <w:rFonts w:ascii="Times New Roman" w:hAnsi="Times New Roman"/>
              </w:rPr>
            </w:pPr>
            <w:r>
              <w:rPr>
                <w:rFonts w:hint="eastAsia" w:ascii="Times New Roman" w:hAnsi="Times New Roman"/>
              </w:rPr>
              <w:t>職務</w:t>
            </w:r>
          </w:p>
        </w:tc>
        <w:tc>
          <w:tcPr>
            <w:tcW w:w="2130" w:type="dxa"/>
            <w:vAlign w:val="center"/>
          </w:tcPr>
          <w:p>
            <w:pPr>
              <w:jc w:val="center"/>
            </w:pPr>
            <w:r>
              <w:t>2017</w:t>
            </w:r>
            <w:r>
              <w:rPr>
                <w:rFonts w:hint="eastAsia"/>
              </w:rPr>
              <w:t>年</w:t>
            </w:r>
            <w:r>
              <w:t>12</w:t>
            </w:r>
            <w:r>
              <w:rPr>
                <w:rFonts w:hint="eastAsia"/>
              </w:rPr>
              <w:t>月</w:t>
            </w:r>
            <w:r>
              <w:t>31</w:t>
            </w:r>
            <w:r>
              <w:rPr>
                <w:rFonts w:hint="eastAsia"/>
              </w:rPr>
              <w:t>日</w:t>
            </w:r>
          </w:p>
        </w:tc>
        <w:tc>
          <w:tcPr>
            <w:tcW w:w="1620" w:type="dxa"/>
            <w:vAlign w:val="center"/>
          </w:tcPr>
          <w:p>
            <w:pPr>
              <w:jc w:val="center"/>
            </w:pPr>
            <w:r>
              <w:rPr>
                <w:rFonts w:hint="eastAsia"/>
              </w:rPr>
              <w:t>變動情況</w:t>
            </w:r>
          </w:p>
        </w:tc>
        <w:tc>
          <w:tcPr>
            <w:tcW w:w="1973" w:type="dxa"/>
            <w:vAlign w:val="center"/>
          </w:tcPr>
          <w:p>
            <w:pPr>
              <w:jc w:val="center"/>
            </w:pPr>
            <w:r>
              <w:t>2016</w:t>
            </w:r>
            <w:r>
              <w:rPr>
                <w:rFonts w:hint="eastAsia"/>
              </w:rPr>
              <w:t>年</w:t>
            </w:r>
            <w:r>
              <w:t>12</w:t>
            </w:r>
            <w:r>
              <w:rPr>
                <w:rFonts w:hint="eastAsia"/>
              </w:rPr>
              <w:t>月</w:t>
            </w:r>
            <w:r>
              <w:t>31</w:t>
            </w:r>
            <w:r>
              <w:rPr>
                <w:rFonts w:hint="eastAsia"/>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gridAfter w:val="1"/>
          <w:wAfter w:w="108" w:type="dxa"/>
        </w:trPr>
        <w:tc>
          <w:tcPr>
            <w:tcW w:w="1158" w:type="dxa"/>
            <w:vAlign w:val="top"/>
          </w:tcPr>
          <w:p>
            <w:pPr>
              <w:rPr>
                <w:b/>
              </w:rPr>
            </w:pPr>
            <w:r>
              <w:rPr>
                <w:rFonts w:hint="eastAsia"/>
                <w:b/>
              </w:rPr>
              <w:t>董事</w:t>
            </w:r>
          </w:p>
        </w:tc>
        <w:tc>
          <w:tcPr>
            <w:tcW w:w="2081" w:type="dxa"/>
            <w:vAlign w:val="top"/>
          </w:tcPr>
          <w:p/>
        </w:tc>
        <w:tc>
          <w:tcPr>
            <w:tcW w:w="2130" w:type="dxa"/>
            <w:vAlign w:val="top"/>
          </w:tcPr>
          <w:p>
            <w:pPr>
              <w:jc w:val="right"/>
            </w:pPr>
          </w:p>
        </w:tc>
        <w:tc>
          <w:tcPr>
            <w:tcW w:w="1620" w:type="dxa"/>
            <w:vAlign w:val="top"/>
          </w:tcPr>
          <w:p>
            <w:pPr>
              <w:jc w:val="right"/>
            </w:pPr>
          </w:p>
        </w:tc>
        <w:tc>
          <w:tcPr>
            <w:tcW w:w="1973" w:type="dxa"/>
            <w:vAlign w:val="top"/>
          </w:tcPr>
          <w:p>
            <w:pPr>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108" w:type="dxa"/>
        </w:trPr>
        <w:tc>
          <w:tcPr>
            <w:tcW w:w="1158" w:type="dxa"/>
            <w:vAlign w:val="top"/>
          </w:tcPr>
          <w:p>
            <w:r>
              <w:rPr>
                <w:rFonts w:hint="eastAsia"/>
              </w:rPr>
              <w:t>張代銘</w:t>
            </w:r>
          </w:p>
        </w:tc>
        <w:tc>
          <w:tcPr>
            <w:tcW w:w="2081" w:type="dxa"/>
            <w:vAlign w:val="top"/>
          </w:tcPr>
          <w:p>
            <w:r>
              <w:rPr>
                <w:rFonts w:hint="eastAsia"/>
              </w:rPr>
              <w:t>董事長</w:t>
            </w:r>
          </w:p>
        </w:tc>
        <w:tc>
          <w:tcPr>
            <w:tcW w:w="2130" w:type="dxa"/>
            <w:vAlign w:val="top"/>
          </w:tcPr>
          <w:p>
            <w:pPr>
              <w:jc w:val="right"/>
            </w:pPr>
            <w:r>
              <w:rPr>
                <w:lang w:eastAsia="zh-TW"/>
              </w:rPr>
              <w:t>146,429</w:t>
            </w:r>
          </w:p>
        </w:tc>
        <w:tc>
          <w:tcPr>
            <w:tcW w:w="1620" w:type="dxa"/>
            <w:vAlign w:val="top"/>
          </w:tcPr>
          <w:p>
            <w:pPr>
              <w:jc w:val="right"/>
            </w:pPr>
            <w:r>
              <w:rPr>
                <w:lang w:eastAsia="zh-TW"/>
              </w:rPr>
              <w:t>134,529</w:t>
            </w:r>
          </w:p>
          <w:p>
            <w:pPr>
              <w:jc w:val="right"/>
            </w:pPr>
            <w:r>
              <w:rPr>
                <w:sz w:val="14"/>
                <w:szCs w:val="14"/>
              </w:rPr>
              <w:t>(</w:t>
            </w:r>
            <w:r>
              <w:rPr>
                <w:rFonts w:hint="eastAsia"/>
                <w:sz w:val="14"/>
                <w:szCs w:val="14"/>
              </w:rPr>
              <w:t>附註</w:t>
            </w:r>
            <w:r>
              <w:rPr>
                <w:sz w:val="14"/>
                <w:szCs w:val="14"/>
              </w:rPr>
              <w:t xml:space="preserve"> 3)</w:t>
            </w:r>
          </w:p>
        </w:tc>
        <w:tc>
          <w:tcPr>
            <w:tcW w:w="1973" w:type="dxa"/>
            <w:vAlign w:val="top"/>
          </w:tcPr>
          <w:p>
            <w:pPr>
              <w:wordWrap w:val="0"/>
              <w:jc w:val="right"/>
              <w:rPr>
                <w:lang w:eastAsia="zh-TW"/>
              </w:rPr>
            </w:pPr>
            <w:r>
              <w:t>11,900</w:t>
            </w:r>
            <w:r>
              <w:rPr>
                <w:lang w:eastAsia="zh-TW"/>
              </w:rPr>
              <w:t xml:space="preserve"> </w:t>
            </w:r>
          </w:p>
          <w:p>
            <w:pPr>
              <w:jc w:val="right"/>
            </w:pPr>
            <w:r>
              <w:rPr>
                <w:sz w:val="14"/>
                <w:szCs w:val="14"/>
              </w:rPr>
              <w:t>(</w:t>
            </w:r>
            <w:r>
              <w:rPr>
                <w:rFonts w:hint="eastAsia"/>
                <w:sz w:val="14"/>
                <w:szCs w:val="14"/>
              </w:rPr>
              <w:t>附註</w:t>
            </w:r>
            <w:r>
              <w:rPr>
                <w:sz w:val="14"/>
                <w:szCs w:val="14"/>
              </w:rPr>
              <w:t xml:space="preserve">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gridAfter w:val="1"/>
          <w:wAfter w:w="108" w:type="dxa"/>
        </w:trPr>
        <w:tc>
          <w:tcPr>
            <w:tcW w:w="1158" w:type="dxa"/>
            <w:vAlign w:val="top"/>
          </w:tcPr>
          <w:p>
            <w:r>
              <w:rPr>
                <w:rFonts w:hint="eastAsia"/>
              </w:rPr>
              <w:t>任福龍</w:t>
            </w:r>
          </w:p>
        </w:tc>
        <w:tc>
          <w:tcPr>
            <w:tcW w:w="2081" w:type="dxa"/>
            <w:vAlign w:val="top"/>
          </w:tcPr>
          <w:p>
            <w:r>
              <w:rPr>
                <w:rFonts w:hint="eastAsia"/>
              </w:rPr>
              <w:t>非執行董事</w:t>
            </w:r>
          </w:p>
        </w:tc>
        <w:tc>
          <w:tcPr>
            <w:tcW w:w="2130" w:type="dxa"/>
            <w:vAlign w:val="top"/>
          </w:tcPr>
          <w:p>
            <w:pPr>
              <w:jc w:val="right"/>
              <w:rPr>
                <w:lang w:eastAsia="zh-TW"/>
              </w:rPr>
            </w:pPr>
            <w:r>
              <w:rPr>
                <w:lang w:eastAsia="zh-TW"/>
              </w:rPr>
              <w:t>116,591</w:t>
            </w:r>
          </w:p>
          <w:p>
            <w:pPr>
              <w:jc w:val="right"/>
            </w:pPr>
          </w:p>
        </w:tc>
        <w:tc>
          <w:tcPr>
            <w:tcW w:w="1620" w:type="dxa"/>
            <w:vAlign w:val="top"/>
          </w:tcPr>
          <w:p>
            <w:pPr>
              <w:jc w:val="right"/>
              <w:rPr>
                <w:lang w:eastAsia="zh-TW"/>
              </w:rPr>
            </w:pPr>
            <w:r>
              <w:rPr>
                <w:lang w:eastAsia="zh-TW"/>
              </w:rPr>
              <w:t>116,591</w:t>
            </w:r>
          </w:p>
          <w:p>
            <w:pPr>
              <w:jc w:val="right"/>
            </w:pPr>
            <w:r>
              <w:rPr>
                <w:sz w:val="14"/>
                <w:szCs w:val="14"/>
              </w:rPr>
              <w:t>(</w:t>
            </w:r>
            <w:r>
              <w:rPr>
                <w:rFonts w:hint="eastAsia"/>
                <w:sz w:val="14"/>
                <w:szCs w:val="14"/>
              </w:rPr>
              <w:t>附註</w:t>
            </w:r>
            <w:r>
              <w:rPr>
                <w:sz w:val="14"/>
                <w:szCs w:val="14"/>
              </w:rPr>
              <w:t xml:space="preserve"> 3)</w:t>
            </w:r>
          </w:p>
        </w:tc>
        <w:tc>
          <w:tcPr>
            <w:tcW w:w="1973" w:type="dxa"/>
            <w:vAlign w:val="top"/>
          </w:tcPr>
          <w:p>
            <w:pPr>
              <w:jc w:val="right"/>
            </w:pPr>
            <w:r>
              <w:rPr>
                <w:rFonts w:hint="eastAsia"/>
                <w:lang w:eastAsia="zh-TW"/>
              </w:rPr>
              <w:t>未持有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1158" w:type="dxa"/>
            <w:vAlign w:val="top"/>
          </w:tcPr>
          <w:p>
            <w:r>
              <w:rPr>
                <w:rFonts w:hint="eastAsia"/>
              </w:rPr>
              <w:t>杜德平</w:t>
            </w:r>
          </w:p>
        </w:tc>
        <w:tc>
          <w:tcPr>
            <w:tcW w:w="2081" w:type="dxa"/>
            <w:vAlign w:val="top"/>
          </w:tcPr>
          <w:p>
            <w:r>
              <w:rPr>
                <w:rFonts w:hint="eastAsia"/>
              </w:rPr>
              <w:t>執行董事、總經理</w:t>
            </w:r>
          </w:p>
        </w:tc>
        <w:tc>
          <w:tcPr>
            <w:tcW w:w="2130" w:type="dxa"/>
            <w:vAlign w:val="top"/>
          </w:tcPr>
          <w:p>
            <w:pPr>
              <w:jc w:val="right"/>
            </w:pPr>
            <w:r>
              <w:rPr>
                <w:lang w:eastAsia="zh-TW"/>
              </w:rPr>
              <w:t>44,843</w:t>
            </w:r>
          </w:p>
        </w:tc>
        <w:tc>
          <w:tcPr>
            <w:tcW w:w="1620" w:type="dxa"/>
            <w:vAlign w:val="top"/>
          </w:tcPr>
          <w:p>
            <w:pPr>
              <w:jc w:val="right"/>
            </w:pPr>
            <w:r>
              <w:rPr>
                <w:lang w:eastAsia="zh-TW"/>
              </w:rPr>
              <w:t>44,843</w:t>
            </w:r>
          </w:p>
          <w:p>
            <w:pPr>
              <w:jc w:val="right"/>
            </w:pPr>
            <w:r>
              <w:rPr>
                <w:sz w:val="14"/>
                <w:szCs w:val="14"/>
              </w:rPr>
              <w:t>(</w:t>
            </w:r>
            <w:r>
              <w:rPr>
                <w:rFonts w:hint="eastAsia"/>
                <w:sz w:val="14"/>
                <w:szCs w:val="14"/>
              </w:rPr>
              <w:t>附註</w:t>
            </w:r>
            <w:r>
              <w:rPr>
                <w:sz w:val="14"/>
                <w:szCs w:val="14"/>
              </w:rPr>
              <w:t xml:space="preserve"> 3)</w:t>
            </w:r>
          </w:p>
        </w:tc>
        <w:tc>
          <w:tcPr>
            <w:tcW w:w="2081" w:type="dxa"/>
            <w:gridSpan w:val="2"/>
            <w:vAlign w:val="top"/>
          </w:tcPr>
          <w:p>
            <w:pPr>
              <w:jc w:val="right"/>
            </w:pPr>
            <w:r>
              <w:rPr>
                <w:rFonts w:hint="eastAsia"/>
                <w:lang w:eastAsia="zh-TW"/>
              </w:rPr>
              <w:t>未持有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gridAfter w:val="1"/>
          <w:wAfter w:w="108" w:type="dxa"/>
        </w:trPr>
        <w:tc>
          <w:tcPr>
            <w:tcW w:w="1158" w:type="dxa"/>
            <w:vAlign w:val="top"/>
          </w:tcPr>
          <w:p>
            <w:r>
              <w:rPr>
                <w:rFonts w:hint="eastAsia"/>
              </w:rPr>
              <w:t>徐列</w:t>
            </w:r>
          </w:p>
        </w:tc>
        <w:tc>
          <w:tcPr>
            <w:tcW w:w="2081" w:type="dxa"/>
            <w:vAlign w:val="top"/>
          </w:tcPr>
          <w:p>
            <w:r>
              <w:rPr>
                <w:rFonts w:hint="eastAsia"/>
              </w:rPr>
              <w:t>非執行董事</w:t>
            </w:r>
          </w:p>
        </w:tc>
        <w:tc>
          <w:tcPr>
            <w:tcW w:w="2130" w:type="dxa"/>
            <w:vAlign w:val="top"/>
          </w:tcPr>
          <w:p>
            <w:pPr>
              <w:jc w:val="right"/>
            </w:pPr>
            <w:r>
              <w:rPr>
                <w:lang w:eastAsia="zh-TW"/>
              </w:rPr>
              <w:t>62,780</w:t>
            </w:r>
          </w:p>
        </w:tc>
        <w:tc>
          <w:tcPr>
            <w:tcW w:w="1620" w:type="dxa"/>
            <w:vAlign w:val="top"/>
          </w:tcPr>
          <w:p>
            <w:pPr>
              <w:jc w:val="right"/>
              <w:rPr>
                <w:lang w:eastAsia="zh-TW"/>
              </w:rPr>
            </w:pPr>
            <w:r>
              <w:rPr>
                <w:lang w:eastAsia="zh-TW"/>
              </w:rPr>
              <w:t>62,780</w:t>
            </w:r>
          </w:p>
          <w:p>
            <w:pPr>
              <w:jc w:val="right"/>
            </w:pPr>
            <w:r>
              <w:rPr>
                <w:sz w:val="14"/>
                <w:szCs w:val="14"/>
              </w:rPr>
              <w:t>(</w:t>
            </w:r>
            <w:r>
              <w:rPr>
                <w:rFonts w:hint="eastAsia"/>
                <w:sz w:val="14"/>
                <w:szCs w:val="14"/>
              </w:rPr>
              <w:t>附註</w:t>
            </w:r>
            <w:r>
              <w:rPr>
                <w:sz w:val="14"/>
                <w:szCs w:val="14"/>
              </w:rPr>
              <w:t xml:space="preserve"> 3)</w:t>
            </w:r>
          </w:p>
        </w:tc>
        <w:tc>
          <w:tcPr>
            <w:tcW w:w="1973" w:type="dxa"/>
            <w:vAlign w:val="top"/>
          </w:tcPr>
          <w:p>
            <w:pPr>
              <w:jc w:val="right"/>
            </w:pPr>
            <w:r>
              <w:rPr>
                <w:rFonts w:hint="eastAsia"/>
                <w:lang w:eastAsia="zh-TW"/>
              </w:rPr>
              <w:t>未持有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108" w:type="dxa"/>
        </w:trPr>
        <w:tc>
          <w:tcPr>
            <w:tcW w:w="1158" w:type="dxa"/>
            <w:vAlign w:val="top"/>
          </w:tcPr>
          <w:p>
            <w:r>
              <w:rPr>
                <w:rFonts w:hint="eastAsia"/>
              </w:rPr>
              <w:t>趙斌</w:t>
            </w:r>
          </w:p>
        </w:tc>
        <w:tc>
          <w:tcPr>
            <w:tcW w:w="2081" w:type="dxa"/>
            <w:vAlign w:val="top"/>
          </w:tcPr>
          <w:p>
            <w:r>
              <w:rPr>
                <w:rFonts w:hint="eastAsia"/>
              </w:rPr>
              <w:t>非執行董事</w:t>
            </w:r>
          </w:p>
        </w:tc>
        <w:tc>
          <w:tcPr>
            <w:tcW w:w="2130" w:type="dxa"/>
            <w:vAlign w:val="top"/>
          </w:tcPr>
          <w:p>
            <w:pPr>
              <w:jc w:val="right"/>
            </w:pPr>
            <w:r>
              <w:rPr>
                <w:rFonts w:hint="eastAsia"/>
                <w:lang w:eastAsia="zh-TW"/>
              </w:rPr>
              <w:t>未持有</w:t>
            </w:r>
          </w:p>
        </w:tc>
        <w:tc>
          <w:tcPr>
            <w:tcW w:w="1620" w:type="dxa"/>
            <w:vAlign w:val="top"/>
          </w:tcPr>
          <w:p>
            <w:pPr>
              <w:jc w:val="right"/>
            </w:pPr>
            <w:r>
              <w:rPr>
                <w:rFonts w:hint="eastAsia"/>
              </w:rPr>
              <w:t>無</w:t>
            </w:r>
          </w:p>
        </w:tc>
        <w:tc>
          <w:tcPr>
            <w:tcW w:w="1973" w:type="dxa"/>
            <w:vAlign w:val="top"/>
          </w:tcPr>
          <w:p>
            <w:pPr>
              <w:jc w:val="right"/>
            </w:pPr>
            <w:r>
              <w:rPr>
                <w:rFonts w:hint="eastAsia"/>
                <w:lang w:eastAsia="zh-TW"/>
              </w:rPr>
              <w:t>未持有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gridAfter w:val="1"/>
          <w:wAfter w:w="108" w:type="dxa"/>
        </w:trPr>
        <w:tc>
          <w:tcPr>
            <w:tcW w:w="1158" w:type="dxa"/>
            <w:vAlign w:val="top"/>
          </w:tcPr>
          <w:p>
            <w:r>
              <w:rPr>
                <w:rFonts w:hint="eastAsia"/>
              </w:rPr>
              <w:t>陳仲戟</w:t>
            </w:r>
          </w:p>
        </w:tc>
        <w:tc>
          <w:tcPr>
            <w:tcW w:w="2081" w:type="dxa"/>
            <w:vAlign w:val="top"/>
          </w:tcPr>
          <w:p>
            <w:r>
              <w:rPr>
                <w:rFonts w:hint="eastAsia"/>
              </w:rPr>
              <w:t>獨立非執行董事</w:t>
            </w:r>
          </w:p>
        </w:tc>
        <w:tc>
          <w:tcPr>
            <w:tcW w:w="2130" w:type="dxa"/>
            <w:vAlign w:val="top"/>
          </w:tcPr>
          <w:p>
            <w:pPr>
              <w:jc w:val="right"/>
            </w:pPr>
            <w:r>
              <w:rPr>
                <w:rFonts w:hint="eastAsia"/>
                <w:lang w:eastAsia="zh-TW"/>
              </w:rPr>
              <w:t>未持有</w:t>
            </w:r>
          </w:p>
        </w:tc>
        <w:tc>
          <w:tcPr>
            <w:tcW w:w="1620" w:type="dxa"/>
            <w:vAlign w:val="top"/>
          </w:tcPr>
          <w:p>
            <w:pPr>
              <w:jc w:val="right"/>
            </w:pPr>
            <w:r>
              <w:rPr>
                <w:rFonts w:hint="eastAsia"/>
              </w:rPr>
              <w:t>無</w:t>
            </w:r>
          </w:p>
        </w:tc>
        <w:tc>
          <w:tcPr>
            <w:tcW w:w="1973" w:type="dxa"/>
            <w:vAlign w:val="top"/>
          </w:tcPr>
          <w:p>
            <w:pPr>
              <w:jc w:val="right"/>
            </w:pPr>
            <w:r>
              <w:rPr>
                <w:rFonts w:hint="eastAsia"/>
                <w:lang w:eastAsia="zh-TW"/>
              </w:rPr>
              <w:t>未持有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108" w:type="dxa"/>
        </w:trPr>
        <w:tc>
          <w:tcPr>
            <w:tcW w:w="1158" w:type="dxa"/>
            <w:vAlign w:val="top"/>
          </w:tcPr>
          <w:p>
            <w:r>
              <w:rPr>
                <w:rFonts w:hint="eastAsia"/>
              </w:rPr>
              <w:t>杜冠華</w:t>
            </w:r>
          </w:p>
        </w:tc>
        <w:tc>
          <w:tcPr>
            <w:tcW w:w="2081" w:type="dxa"/>
            <w:vAlign w:val="top"/>
          </w:tcPr>
          <w:p>
            <w:r>
              <w:rPr>
                <w:rFonts w:hint="eastAsia"/>
              </w:rPr>
              <w:t>獨立非執行董事</w:t>
            </w:r>
          </w:p>
        </w:tc>
        <w:tc>
          <w:tcPr>
            <w:tcW w:w="2130" w:type="dxa"/>
            <w:vAlign w:val="top"/>
          </w:tcPr>
          <w:p>
            <w:pPr>
              <w:jc w:val="right"/>
            </w:pPr>
            <w:r>
              <w:rPr>
                <w:rFonts w:hint="eastAsia"/>
                <w:lang w:eastAsia="zh-TW"/>
              </w:rPr>
              <w:t>未持有</w:t>
            </w:r>
          </w:p>
        </w:tc>
        <w:tc>
          <w:tcPr>
            <w:tcW w:w="1620" w:type="dxa"/>
            <w:vAlign w:val="top"/>
          </w:tcPr>
          <w:p>
            <w:pPr>
              <w:jc w:val="right"/>
            </w:pPr>
            <w:r>
              <w:rPr>
                <w:rFonts w:hint="eastAsia"/>
              </w:rPr>
              <w:t>無</w:t>
            </w:r>
          </w:p>
        </w:tc>
        <w:tc>
          <w:tcPr>
            <w:tcW w:w="1973" w:type="dxa"/>
            <w:vAlign w:val="top"/>
          </w:tcPr>
          <w:p>
            <w:pPr>
              <w:jc w:val="right"/>
            </w:pPr>
            <w:r>
              <w:rPr>
                <w:rFonts w:hint="eastAsia"/>
                <w:lang w:eastAsia="zh-TW"/>
              </w:rPr>
              <w:t>未持有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gridAfter w:val="1"/>
          <w:wAfter w:w="108" w:type="dxa"/>
        </w:trPr>
        <w:tc>
          <w:tcPr>
            <w:tcW w:w="1158" w:type="dxa"/>
            <w:vAlign w:val="top"/>
          </w:tcPr>
          <w:p>
            <w:r>
              <w:rPr>
                <w:rFonts w:hint="eastAsia"/>
              </w:rPr>
              <w:t>李文明</w:t>
            </w:r>
          </w:p>
        </w:tc>
        <w:tc>
          <w:tcPr>
            <w:tcW w:w="2081" w:type="dxa"/>
            <w:vAlign w:val="top"/>
          </w:tcPr>
          <w:p>
            <w:r>
              <w:rPr>
                <w:rFonts w:hint="eastAsia"/>
              </w:rPr>
              <w:t>獨立非執行董事</w:t>
            </w:r>
          </w:p>
        </w:tc>
        <w:tc>
          <w:tcPr>
            <w:tcW w:w="2130" w:type="dxa"/>
            <w:vAlign w:val="top"/>
          </w:tcPr>
          <w:p>
            <w:pPr>
              <w:jc w:val="right"/>
            </w:pPr>
            <w:r>
              <w:rPr>
                <w:rFonts w:hint="eastAsia"/>
                <w:lang w:eastAsia="zh-TW"/>
              </w:rPr>
              <w:t>未持有</w:t>
            </w:r>
          </w:p>
        </w:tc>
        <w:tc>
          <w:tcPr>
            <w:tcW w:w="1620" w:type="dxa"/>
            <w:vAlign w:val="top"/>
          </w:tcPr>
          <w:p>
            <w:pPr>
              <w:jc w:val="right"/>
            </w:pPr>
            <w:r>
              <w:rPr>
                <w:rFonts w:hint="eastAsia"/>
              </w:rPr>
              <w:t>無</w:t>
            </w:r>
          </w:p>
        </w:tc>
        <w:tc>
          <w:tcPr>
            <w:tcW w:w="1973" w:type="dxa"/>
            <w:vAlign w:val="top"/>
          </w:tcPr>
          <w:p>
            <w:pPr>
              <w:jc w:val="right"/>
            </w:pPr>
            <w:r>
              <w:rPr>
                <w:rFonts w:hint="eastAsia"/>
                <w:lang w:eastAsia="zh-TW"/>
              </w:rPr>
              <w:t>未持有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108" w:type="dxa"/>
        </w:trPr>
        <w:tc>
          <w:tcPr>
            <w:tcW w:w="1158" w:type="dxa"/>
            <w:vAlign w:val="top"/>
          </w:tcPr>
          <w:p/>
        </w:tc>
        <w:tc>
          <w:tcPr>
            <w:tcW w:w="2081" w:type="dxa"/>
            <w:vAlign w:val="top"/>
          </w:tcPr>
          <w:p/>
        </w:tc>
        <w:tc>
          <w:tcPr>
            <w:tcW w:w="2130" w:type="dxa"/>
            <w:vAlign w:val="top"/>
          </w:tcPr>
          <w:p>
            <w:pPr>
              <w:jc w:val="right"/>
            </w:pPr>
          </w:p>
        </w:tc>
        <w:tc>
          <w:tcPr>
            <w:tcW w:w="1620" w:type="dxa"/>
            <w:vAlign w:val="top"/>
          </w:tcPr>
          <w:p>
            <w:pPr>
              <w:jc w:val="right"/>
            </w:pPr>
          </w:p>
        </w:tc>
        <w:tc>
          <w:tcPr>
            <w:tcW w:w="1973" w:type="dxa"/>
            <w:vAlign w:val="top"/>
          </w:tcPr>
          <w:p>
            <w:pPr>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gridAfter w:val="1"/>
          <w:wAfter w:w="108" w:type="dxa"/>
        </w:trPr>
        <w:tc>
          <w:tcPr>
            <w:tcW w:w="1158" w:type="dxa"/>
            <w:vAlign w:val="top"/>
          </w:tcPr>
          <w:p>
            <w:pPr>
              <w:rPr>
                <w:b/>
              </w:rPr>
            </w:pPr>
            <w:r>
              <w:rPr>
                <w:rFonts w:hint="eastAsia"/>
                <w:b/>
              </w:rPr>
              <w:t>監事</w:t>
            </w:r>
          </w:p>
        </w:tc>
        <w:tc>
          <w:tcPr>
            <w:tcW w:w="2081" w:type="dxa"/>
            <w:vAlign w:val="top"/>
          </w:tcPr>
          <w:p/>
        </w:tc>
        <w:tc>
          <w:tcPr>
            <w:tcW w:w="2130" w:type="dxa"/>
            <w:vAlign w:val="top"/>
          </w:tcPr>
          <w:p>
            <w:pPr>
              <w:jc w:val="right"/>
            </w:pPr>
          </w:p>
        </w:tc>
        <w:tc>
          <w:tcPr>
            <w:tcW w:w="1620" w:type="dxa"/>
            <w:vAlign w:val="top"/>
          </w:tcPr>
          <w:p>
            <w:pPr>
              <w:jc w:val="right"/>
            </w:pPr>
          </w:p>
        </w:tc>
        <w:tc>
          <w:tcPr>
            <w:tcW w:w="1973" w:type="dxa"/>
            <w:vAlign w:val="top"/>
          </w:tcPr>
          <w:p>
            <w:pPr>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108" w:type="dxa"/>
        </w:trPr>
        <w:tc>
          <w:tcPr>
            <w:tcW w:w="1158" w:type="dxa"/>
            <w:vAlign w:val="top"/>
          </w:tcPr>
          <w:p>
            <w:r>
              <w:rPr>
                <w:rFonts w:hint="eastAsia"/>
              </w:rPr>
              <w:t>李天忠</w:t>
            </w:r>
          </w:p>
        </w:tc>
        <w:tc>
          <w:tcPr>
            <w:tcW w:w="2081" w:type="dxa"/>
            <w:vAlign w:val="top"/>
          </w:tcPr>
          <w:p>
            <w:r>
              <w:rPr>
                <w:rFonts w:hint="eastAsia"/>
              </w:rPr>
              <w:t>監事會主席</w:t>
            </w:r>
          </w:p>
        </w:tc>
        <w:tc>
          <w:tcPr>
            <w:tcW w:w="2130" w:type="dxa"/>
            <w:vAlign w:val="top"/>
          </w:tcPr>
          <w:p>
            <w:pPr>
              <w:jc w:val="right"/>
            </w:pPr>
            <w:r>
              <w:rPr>
                <w:rFonts w:hint="eastAsia"/>
              </w:rPr>
              <w:t>71,748</w:t>
            </w:r>
          </w:p>
        </w:tc>
        <w:tc>
          <w:tcPr>
            <w:tcW w:w="1620" w:type="dxa"/>
            <w:vAlign w:val="top"/>
          </w:tcPr>
          <w:p>
            <w:pPr>
              <w:jc w:val="right"/>
            </w:pPr>
            <w:r>
              <w:rPr>
                <w:rFonts w:hint="eastAsia"/>
              </w:rPr>
              <w:t>71,748</w:t>
            </w:r>
          </w:p>
          <w:p>
            <w:pPr>
              <w:jc w:val="right"/>
            </w:pPr>
            <w:r>
              <w:rPr>
                <w:sz w:val="14"/>
                <w:szCs w:val="14"/>
              </w:rPr>
              <w:t>(</w:t>
            </w:r>
            <w:r>
              <w:rPr>
                <w:rFonts w:hint="eastAsia"/>
                <w:sz w:val="14"/>
                <w:szCs w:val="14"/>
              </w:rPr>
              <w:t>附註</w:t>
            </w:r>
            <w:r>
              <w:rPr>
                <w:sz w:val="14"/>
                <w:szCs w:val="14"/>
              </w:rPr>
              <w:t xml:space="preserve"> 3)</w:t>
            </w:r>
          </w:p>
        </w:tc>
        <w:tc>
          <w:tcPr>
            <w:tcW w:w="1973" w:type="dxa"/>
            <w:vAlign w:val="top"/>
          </w:tcPr>
          <w:p>
            <w:pPr>
              <w:jc w:val="right"/>
            </w:pPr>
            <w:r>
              <w:rPr>
                <w:rFonts w:hint="eastAsia"/>
                <w:lang w:eastAsia="zh-TW"/>
              </w:rPr>
              <w:t>未持有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gridAfter w:val="1"/>
          <w:wAfter w:w="108" w:type="dxa"/>
        </w:trPr>
        <w:tc>
          <w:tcPr>
            <w:tcW w:w="1158" w:type="dxa"/>
            <w:vAlign w:val="top"/>
          </w:tcPr>
          <w:p>
            <w:r>
              <w:rPr>
                <w:rFonts w:hint="eastAsia"/>
              </w:rPr>
              <w:t>陶志超</w:t>
            </w:r>
          </w:p>
        </w:tc>
        <w:tc>
          <w:tcPr>
            <w:tcW w:w="2081" w:type="dxa"/>
            <w:vAlign w:val="top"/>
          </w:tcPr>
          <w:p>
            <w:r>
              <w:rPr>
                <w:rFonts w:hint="eastAsia"/>
              </w:rPr>
              <w:t>獨立監事</w:t>
            </w:r>
          </w:p>
        </w:tc>
        <w:tc>
          <w:tcPr>
            <w:tcW w:w="2130" w:type="dxa"/>
            <w:vAlign w:val="top"/>
          </w:tcPr>
          <w:p>
            <w:pPr>
              <w:jc w:val="right"/>
            </w:pPr>
            <w:r>
              <w:rPr>
                <w:rFonts w:hint="eastAsia"/>
                <w:lang w:eastAsia="zh-TW"/>
              </w:rPr>
              <w:t>未持有</w:t>
            </w:r>
          </w:p>
        </w:tc>
        <w:tc>
          <w:tcPr>
            <w:tcW w:w="1620" w:type="dxa"/>
            <w:vAlign w:val="top"/>
          </w:tcPr>
          <w:p>
            <w:pPr>
              <w:jc w:val="right"/>
            </w:pPr>
            <w:r>
              <w:rPr>
                <w:rFonts w:hint="eastAsia"/>
              </w:rPr>
              <w:t>無</w:t>
            </w:r>
          </w:p>
        </w:tc>
        <w:tc>
          <w:tcPr>
            <w:tcW w:w="1973" w:type="dxa"/>
            <w:vAlign w:val="top"/>
          </w:tcPr>
          <w:p>
            <w:pPr>
              <w:jc w:val="right"/>
            </w:pPr>
            <w:r>
              <w:rPr>
                <w:rFonts w:hint="eastAsia"/>
                <w:lang w:eastAsia="zh-TW"/>
              </w:rPr>
              <w:t>未持有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108" w:type="dxa"/>
          <w:trHeight w:val="90" w:hRule="atLeast"/>
        </w:trPr>
        <w:tc>
          <w:tcPr>
            <w:tcW w:w="1158" w:type="dxa"/>
            <w:vAlign w:val="top"/>
          </w:tcPr>
          <w:p>
            <w:r>
              <w:rPr>
                <w:rFonts w:hint="eastAsia"/>
              </w:rPr>
              <w:t>肖方玉</w:t>
            </w:r>
          </w:p>
        </w:tc>
        <w:tc>
          <w:tcPr>
            <w:tcW w:w="2081" w:type="dxa"/>
            <w:vAlign w:val="top"/>
          </w:tcPr>
          <w:p>
            <w:r>
              <w:rPr>
                <w:rFonts w:hint="eastAsia"/>
              </w:rPr>
              <w:t>獨立監事</w:t>
            </w:r>
          </w:p>
        </w:tc>
        <w:tc>
          <w:tcPr>
            <w:tcW w:w="2130" w:type="dxa"/>
            <w:vAlign w:val="top"/>
          </w:tcPr>
          <w:p>
            <w:pPr>
              <w:jc w:val="right"/>
            </w:pPr>
            <w:r>
              <w:rPr>
                <w:rFonts w:hint="eastAsia"/>
                <w:lang w:eastAsia="zh-TW"/>
              </w:rPr>
              <w:t>未持有</w:t>
            </w:r>
          </w:p>
        </w:tc>
        <w:tc>
          <w:tcPr>
            <w:tcW w:w="1620" w:type="dxa"/>
            <w:vAlign w:val="top"/>
          </w:tcPr>
          <w:p>
            <w:pPr>
              <w:jc w:val="right"/>
            </w:pPr>
            <w:r>
              <w:rPr>
                <w:rFonts w:hint="eastAsia"/>
              </w:rPr>
              <w:t>無</w:t>
            </w:r>
          </w:p>
        </w:tc>
        <w:tc>
          <w:tcPr>
            <w:tcW w:w="1973" w:type="dxa"/>
            <w:vAlign w:val="top"/>
          </w:tcPr>
          <w:p>
            <w:pPr>
              <w:jc w:val="right"/>
            </w:pPr>
            <w:r>
              <w:rPr>
                <w:rFonts w:hint="eastAsia"/>
                <w:lang w:eastAsia="zh-TW"/>
              </w:rPr>
              <w:t>未持有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108" w:type="dxa"/>
        </w:trPr>
        <w:tc>
          <w:tcPr>
            <w:tcW w:w="1158" w:type="dxa"/>
            <w:vAlign w:val="top"/>
          </w:tcPr>
          <w:p>
            <w:r>
              <w:rPr>
                <w:rFonts w:hint="eastAsia"/>
              </w:rPr>
              <w:t>扈豔華</w:t>
            </w:r>
          </w:p>
        </w:tc>
        <w:tc>
          <w:tcPr>
            <w:tcW w:w="2081" w:type="dxa"/>
            <w:vAlign w:val="top"/>
          </w:tcPr>
          <w:p>
            <w:r>
              <w:rPr>
                <w:rFonts w:hint="eastAsia"/>
              </w:rPr>
              <w:t>職工監事</w:t>
            </w:r>
          </w:p>
        </w:tc>
        <w:tc>
          <w:tcPr>
            <w:tcW w:w="2130" w:type="dxa"/>
            <w:vAlign w:val="top"/>
          </w:tcPr>
          <w:p>
            <w:pPr>
              <w:jc w:val="right"/>
            </w:pPr>
            <w:r>
              <w:rPr>
                <w:rFonts w:hint="eastAsia"/>
              </w:rPr>
              <w:t>26,905</w:t>
            </w:r>
          </w:p>
        </w:tc>
        <w:tc>
          <w:tcPr>
            <w:tcW w:w="1620" w:type="dxa"/>
            <w:vAlign w:val="top"/>
          </w:tcPr>
          <w:p>
            <w:pPr>
              <w:jc w:val="right"/>
              <w:rPr>
                <w:sz w:val="14"/>
                <w:szCs w:val="14"/>
              </w:rPr>
            </w:pPr>
            <w:r>
              <w:rPr>
                <w:rFonts w:hint="eastAsia"/>
              </w:rPr>
              <w:t>26,905</w:t>
            </w:r>
          </w:p>
          <w:p>
            <w:pPr>
              <w:jc w:val="right"/>
            </w:pPr>
            <w:r>
              <w:rPr>
                <w:sz w:val="14"/>
                <w:szCs w:val="14"/>
              </w:rPr>
              <w:t>(</w:t>
            </w:r>
            <w:r>
              <w:rPr>
                <w:rFonts w:hint="eastAsia"/>
                <w:sz w:val="14"/>
                <w:szCs w:val="14"/>
              </w:rPr>
              <w:t>附註</w:t>
            </w:r>
            <w:r>
              <w:rPr>
                <w:sz w:val="14"/>
                <w:szCs w:val="14"/>
              </w:rPr>
              <w:t xml:space="preserve"> 3)</w:t>
            </w:r>
          </w:p>
        </w:tc>
        <w:tc>
          <w:tcPr>
            <w:tcW w:w="1973" w:type="dxa"/>
            <w:vAlign w:val="top"/>
          </w:tcPr>
          <w:p>
            <w:pPr>
              <w:jc w:val="right"/>
            </w:pPr>
            <w:r>
              <w:rPr>
                <w:rFonts w:hint="eastAsia"/>
                <w:lang w:eastAsia="zh-TW"/>
              </w:rPr>
              <w:t>未持有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108" w:type="dxa"/>
        </w:trPr>
        <w:tc>
          <w:tcPr>
            <w:tcW w:w="1158" w:type="dxa"/>
            <w:vAlign w:val="top"/>
          </w:tcPr>
          <w:p>
            <w:r>
              <w:rPr>
                <w:rFonts w:hint="eastAsia"/>
              </w:rPr>
              <w:t>王劍平</w:t>
            </w:r>
          </w:p>
        </w:tc>
        <w:tc>
          <w:tcPr>
            <w:tcW w:w="2081" w:type="dxa"/>
            <w:vAlign w:val="top"/>
          </w:tcPr>
          <w:p>
            <w:r>
              <w:rPr>
                <w:rFonts w:hint="eastAsia"/>
              </w:rPr>
              <w:t>職工監事</w:t>
            </w:r>
          </w:p>
        </w:tc>
        <w:tc>
          <w:tcPr>
            <w:tcW w:w="2130" w:type="dxa"/>
            <w:vAlign w:val="top"/>
          </w:tcPr>
          <w:p>
            <w:pPr>
              <w:jc w:val="right"/>
            </w:pPr>
            <w:r>
              <w:rPr>
                <w:rFonts w:hint="eastAsia"/>
                <w:lang w:eastAsia="zh-TW"/>
              </w:rPr>
              <w:t>未持有</w:t>
            </w:r>
          </w:p>
        </w:tc>
        <w:tc>
          <w:tcPr>
            <w:tcW w:w="1620" w:type="dxa"/>
            <w:vAlign w:val="top"/>
          </w:tcPr>
          <w:p>
            <w:pPr>
              <w:jc w:val="right"/>
            </w:pPr>
            <w:r>
              <w:rPr>
                <w:rFonts w:hint="eastAsia"/>
              </w:rPr>
              <w:t>無</w:t>
            </w:r>
          </w:p>
        </w:tc>
        <w:tc>
          <w:tcPr>
            <w:tcW w:w="1973" w:type="dxa"/>
            <w:vAlign w:val="top"/>
          </w:tcPr>
          <w:p>
            <w:pPr>
              <w:jc w:val="right"/>
            </w:pPr>
            <w:r>
              <w:rPr>
                <w:rFonts w:hint="eastAsia"/>
                <w:lang w:eastAsia="zh-TW"/>
              </w:rPr>
              <w:t>未持有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108" w:type="dxa"/>
        </w:trPr>
        <w:tc>
          <w:tcPr>
            <w:tcW w:w="1158" w:type="dxa"/>
            <w:vAlign w:val="top"/>
          </w:tcPr>
          <w:p/>
        </w:tc>
        <w:tc>
          <w:tcPr>
            <w:tcW w:w="2081" w:type="dxa"/>
            <w:vAlign w:val="top"/>
          </w:tcPr>
          <w:p/>
        </w:tc>
        <w:tc>
          <w:tcPr>
            <w:tcW w:w="2130" w:type="dxa"/>
            <w:vAlign w:val="top"/>
          </w:tcPr>
          <w:p>
            <w:pPr>
              <w:jc w:val="right"/>
            </w:pPr>
          </w:p>
        </w:tc>
        <w:tc>
          <w:tcPr>
            <w:tcW w:w="1620" w:type="dxa"/>
            <w:vAlign w:val="top"/>
          </w:tcPr>
          <w:p>
            <w:pPr>
              <w:jc w:val="right"/>
            </w:pPr>
          </w:p>
        </w:tc>
        <w:tc>
          <w:tcPr>
            <w:tcW w:w="1973" w:type="dxa"/>
            <w:vAlign w:val="top"/>
          </w:tcPr>
          <w:p>
            <w:pPr>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108" w:type="dxa"/>
        </w:trPr>
        <w:tc>
          <w:tcPr>
            <w:tcW w:w="1158" w:type="dxa"/>
            <w:vAlign w:val="top"/>
          </w:tcPr>
          <w:p/>
        </w:tc>
        <w:tc>
          <w:tcPr>
            <w:tcW w:w="2081" w:type="dxa"/>
            <w:vAlign w:val="top"/>
          </w:tcPr>
          <w:p/>
        </w:tc>
        <w:tc>
          <w:tcPr>
            <w:tcW w:w="2130" w:type="dxa"/>
            <w:vAlign w:val="top"/>
          </w:tcPr>
          <w:p>
            <w:pPr>
              <w:jc w:val="right"/>
            </w:pPr>
          </w:p>
        </w:tc>
        <w:tc>
          <w:tcPr>
            <w:tcW w:w="1620" w:type="dxa"/>
            <w:vAlign w:val="top"/>
          </w:tcPr>
          <w:p>
            <w:pPr>
              <w:jc w:val="right"/>
            </w:pPr>
          </w:p>
        </w:tc>
        <w:tc>
          <w:tcPr>
            <w:tcW w:w="1973" w:type="dxa"/>
            <w:vAlign w:val="top"/>
          </w:tcPr>
          <w:p>
            <w:pPr>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108" w:type="dxa"/>
        </w:trPr>
        <w:tc>
          <w:tcPr>
            <w:tcW w:w="1158" w:type="dxa"/>
            <w:vAlign w:val="top"/>
          </w:tcPr>
          <w:p>
            <w:pPr>
              <w:rPr>
                <w:b/>
              </w:rPr>
            </w:pPr>
            <w:r>
              <w:rPr>
                <w:rFonts w:hint="eastAsia"/>
                <w:b/>
              </w:rPr>
              <w:t>其他高級管理人員</w:t>
            </w:r>
          </w:p>
        </w:tc>
        <w:tc>
          <w:tcPr>
            <w:tcW w:w="2081" w:type="dxa"/>
            <w:vAlign w:val="top"/>
          </w:tcPr>
          <w:p/>
        </w:tc>
        <w:tc>
          <w:tcPr>
            <w:tcW w:w="2130" w:type="dxa"/>
            <w:vAlign w:val="top"/>
          </w:tcPr>
          <w:p>
            <w:pPr>
              <w:jc w:val="right"/>
            </w:pPr>
          </w:p>
        </w:tc>
        <w:tc>
          <w:tcPr>
            <w:tcW w:w="1620" w:type="dxa"/>
            <w:vAlign w:val="top"/>
          </w:tcPr>
          <w:p>
            <w:pPr>
              <w:jc w:val="right"/>
            </w:pPr>
          </w:p>
        </w:tc>
        <w:tc>
          <w:tcPr>
            <w:tcW w:w="1973" w:type="dxa"/>
            <w:vAlign w:val="top"/>
          </w:tcPr>
          <w:p>
            <w:pPr>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108" w:type="dxa"/>
        </w:trPr>
        <w:tc>
          <w:tcPr>
            <w:tcW w:w="1158" w:type="dxa"/>
            <w:vAlign w:val="top"/>
          </w:tcPr>
          <w:p>
            <w:r>
              <w:rPr>
                <w:rFonts w:hint="eastAsia"/>
              </w:rPr>
              <w:t>王小龍</w:t>
            </w:r>
          </w:p>
        </w:tc>
        <w:tc>
          <w:tcPr>
            <w:tcW w:w="2081" w:type="dxa"/>
            <w:vAlign w:val="top"/>
          </w:tcPr>
          <w:p>
            <w:r>
              <w:rPr>
                <w:rFonts w:hint="eastAsia"/>
              </w:rPr>
              <w:t>副總經理</w:t>
            </w:r>
          </w:p>
        </w:tc>
        <w:tc>
          <w:tcPr>
            <w:tcW w:w="2130" w:type="dxa"/>
            <w:vAlign w:val="top"/>
          </w:tcPr>
          <w:p>
            <w:pPr>
              <w:jc w:val="right"/>
            </w:pPr>
            <w:r>
              <w:rPr>
                <w:rFonts w:hint="eastAsia"/>
              </w:rPr>
              <w:t>62,780</w:t>
            </w:r>
          </w:p>
        </w:tc>
        <w:tc>
          <w:tcPr>
            <w:tcW w:w="1620" w:type="dxa"/>
            <w:vAlign w:val="top"/>
          </w:tcPr>
          <w:p>
            <w:pPr>
              <w:jc w:val="right"/>
              <w:rPr>
                <w:sz w:val="14"/>
                <w:szCs w:val="14"/>
              </w:rPr>
            </w:pPr>
            <w:r>
              <w:rPr>
                <w:rFonts w:hint="eastAsia"/>
              </w:rPr>
              <w:t>62,780</w:t>
            </w:r>
          </w:p>
          <w:p>
            <w:pPr>
              <w:jc w:val="right"/>
            </w:pPr>
            <w:r>
              <w:rPr>
                <w:sz w:val="14"/>
                <w:szCs w:val="14"/>
              </w:rPr>
              <w:t>(</w:t>
            </w:r>
            <w:r>
              <w:rPr>
                <w:rFonts w:hint="eastAsia"/>
                <w:sz w:val="14"/>
                <w:szCs w:val="14"/>
              </w:rPr>
              <w:t>附註</w:t>
            </w:r>
            <w:r>
              <w:rPr>
                <w:sz w:val="14"/>
                <w:szCs w:val="14"/>
              </w:rPr>
              <w:t xml:space="preserve"> 3)</w:t>
            </w:r>
          </w:p>
        </w:tc>
        <w:tc>
          <w:tcPr>
            <w:tcW w:w="1973" w:type="dxa"/>
            <w:vAlign w:val="top"/>
          </w:tcPr>
          <w:p>
            <w:pPr>
              <w:jc w:val="right"/>
            </w:pPr>
            <w:r>
              <w:rPr>
                <w:rFonts w:hint="eastAsia"/>
                <w:lang w:eastAsia="zh-TW"/>
              </w:rPr>
              <w:t>未持有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108" w:type="dxa"/>
        </w:trPr>
        <w:tc>
          <w:tcPr>
            <w:tcW w:w="1158" w:type="dxa"/>
            <w:vAlign w:val="top"/>
          </w:tcPr>
          <w:p>
            <w:r>
              <w:rPr>
                <w:rFonts w:hint="eastAsia"/>
              </w:rPr>
              <w:t>竇學傑</w:t>
            </w:r>
          </w:p>
        </w:tc>
        <w:tc>
          <w:tcPr>
            <w:tcW w:w="2081" w:type="dxa"/>
            <w:vAlign w:val="top"/>
          </w:tcPr>
          <w:p>
            <w:r>
              <w:rPr>
                <w:rFonts w:hint="eastAsia"/>
              </w:rPr>
              <w:t>副總經理</w:t>
            </w:r>
          </w:p>
        </w:tc>
        <w:tc>
          <w:tcPr>
            <w:tcW w:w="2130" w:type="dxa"/>
            <w:vAlign w:val="top"/>
          </w:tcPr>
          <w:p>
            <w:pPr>
              <w:jc w:val="right"/>
            </w:pPr>
            <w:r>
              <w:rPr>
                <w:rFonts w:hint="eastAsia"/>
              </w:rPr>
              <w:t>26,905</w:t>
            </w:r>
          </w:p>
        </w:tc>
        <w:tc>
          <w:tcPr>
            <w:tcW w:w="1620" w:type="dxa"/>
            <w:vAlign w:val="top"/>
          </w:tcPr>
          <w:p>
            <w:pPr>
              <w:jc w:val="right"/>
            </w:pPr>
            <w:r>
              <w:rPr>
                <w:rFonts w:hint="eastAsia"/>
              </w:rPr>
              <w:t>26,905</w:t>
            </w:r>
          </w:p>
          <w:p>
            <w:pPr>
              <w:jc w:val="right"/>
            </w:pPr>
            <w:r>
              <w:rPr>
                <w:sz w:val="14"/>
                <w:szCs w:val="14"/>
              </w:rPr>
              <w:t>(</w:t>
            </w:r>
            <w:r>
              <w:rPr>
                <w:rFonts w:hint="eastAsia"/>
                <w:sz w:val="14"/>
                <w:szCs w:val="14"/>
              </w:rPr>
              <w:t>附註</w:t>
            </w:r>
            <w:r>
              <w:rPr>
                <w:sz w:val="14"/>
                <w:szCs w:val="14"/>
              </w:rPr>
              <w:t xml:space="preserve"> 3)</w:t>
            </w:r>
          </w:p>
        </w:tc>
        <w:tc>
          <w:tcPr>
            <w:tcW w:w="1973" w:type="dxa"/>
            <w:vAlign w:val="top"/>
          </w:tcPr>
          <w:p>
            <w:pPr>
              <w:jc w:val="right"/>
            </w:pPr>
            <w:r>
              <w:rPr>
                <w:rFonts w:hint="eastAsia"/>
                <w:lang w:eastAsia="zh-TW"/>
              </w:rPr>
              <w:t>未持有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108" w:type="dxa"/>
        </w:trPr>
        <w:tc>
          <w:tcPr>
            <w:tcW w:w="1158" w:type="dxa"/>
            <w:vAlign w:val="top"/>
          </w:tcPr>
          <w:p>
            <w:r>
              <w:rPr>
                <w:rFonts w:hint="eastAsia"/>
              </w:rPr>
              <w:t>杜德清</w:t>
            </w:r>
          </w:p>
        </w:tc>
        <w:tc>
          <w:tcPr>
            <w:tcW w:w="2081" w:type="dxa"/>
            <w:vAlign w:val="top"/>
          </w:tcPr>
          <w:p>
            <w:r>
              <w:rPr>
                <w:rFonts w:hint="eastAsia"/>
              </w:rPr>
              <w:t>副總經理</w:t>
            </w:r>
          </w:p>
        </w:tc>
        <w:tc>
          <w:tcPr>
            <w:tcW w:w="2130" w:type="dxa"/>
            <w:vAlign w:val="top"/>
          </w:tcPr>
          <w:p>
            <w:pPr>
              <w:jc w:val="right"/>
            </w:pPr>
            <w:r>
              <w:rPr>
                <w:rFonts w:hint="eastAsia"/>
              </w:rPr>
              <w:t>62,780</w:t>
            </w:r>
          </w:p>
        </w:tc>
        <w:tc>
          <w:tcPr>
            <w:tcW w:w="1620" w:type="dxa"/>
            <w:vAlign w:val="top"/>
          </w:tcPr>
          <w:p>
            <w:pPr>
              <w:jc w:val="right"/>
            </w:pPr>
            <w:r>
              <w:rPr>
                <w:rFonts w:hint="eastAsia"/>
              </w:rPr>
              <w:t>62,780</w:t>
            </w:r>
          </w:p>
          <w:p>
            <w:pPr>
              <w:jc w:val="right"/>
            </w:pPr>
            <w:r>
              <w:rPr>
                <w:sz w:val="14"/>
                <w:szCs w:val="14"/>
              </w:rPr>
              <w:t>(</w:t>
            </w:r>
            <w:r>
              <w:rPr>
                <w:rFonts w:hint="eastAsia"/>
                <w:sz w:val="14"/>
                <w:szCs w:val="14"/>
              </w:rPr>
              <w:t>附註</w:t>
            </w:r>
            <w:r>
              <w:rPr>
                <w:sz w:val="14"/>
                <w:szCs w:val="14"/>
              </w:rPr>
              <w:t xml:space="preserve"> 3)</w:t>
            </w:r>
          </w:p>
        </w:tc>
        <w:tc>
          <w:tcPr>
            <w:tcW w:w="1973" w:type="dxa"/>
            <w:vAlign w:val="top"/>
          </w:tcPr>
          <w:p>
            <w:pPr>
              <w:jc w:val="right"/>
            </w:pPr>
            <w:r>
              <w:rPr>
                <w:rFonts w:hint="eastAsia"/>
                <w:lang w:eastAsia="zh-TW"/>
              </w:rPr>
              <w:t>未持有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108" w:type="dxa"/>
          <w:trHeight w:val="90" w:hRule="atLeast"/>
        </w:trPr>
        <w:tc>
          <w:tcPr>
            <w:tcW w:w="1158" w:type="dxa"/>
            <w:vAlign w:val="top"/>
          </w:tcPr>
          <w:p>
            <w:r>
              <w:rPr>
                <w:rFonts w:hint="eastAsia"/>
              </w:rPr>
              <w:t>賀同慶</w:t>
            </w:r>
          </w:p>
        </w:tc>
        <w:tc>
          <w:tcPr>
            <w:tcW w:w="2081" w:type="dxa"/>
            <w:vAlign w:val="top"/>
          </w:tcPr>
          <w:p>
            <w:r>
              <w:rPr>
                <w:rFonts w:hint="eastAsia"/>
              </w:rPr>
              <w:t>副總經理</w:t>
            </w:r>
          </w:p>
        </w:tc>
        <w:tc>
          <w:tcPr>
            <w:tcW w:w="2130" w:type="dxa"/>
            <w:vAlign w:val="top"/>
          </w:tcPr>
          <w:p>
            <w:pPr>
              <w:jc w:val="right"/>
            </w:pPr>
            <w:r>
              <w:rPr>
                <w:rFonts w:hint="eastAsia"/>
              </w:rPr>
              <w:t>89,686</w:t>
            </w:r>
          </w:p>
        </w:tc>
        <w:tc>
          <w:tcPr>
            <w:tcW w:w="1620" w:type="dxa"/>
            <w:vAlign w:val="top"/>
          </w:tcPr>
          <w:p>
            <w:pPr>
              <w:jc w:val="right"/>
            </w:pPr>
            <w:r>
              <w:rPr>
                <w:rFonts w:hint="eastAsia"/>
              </w:rPr>
              <w:t>89,686</w:t>
            </w:r>
          </w:p>
          <w:p>
            <w:pPr>
              <w:jc w:val="right"/>
            </w:pPr>
            <w:r>
              <w:rPr>
                <w:sz w:val="14"/>
                <w:szCs w:val="14"/>
              </w:rPr>
              <w:t>(</w:t>
            </w:r>
            <w:r>
              <w:rPr>
                <w:rFonts w:hint="eastAsia"/>
                <w:sz w:val="14"/>
                <w:szCs w:val="14"/>
              </w:rPr>
              <w:t>附註</w:t>
            </w:r>
            <w:r>
              <w:rPr>
                <w:sz w:val="14"/>
                <w:szCs w:val="14"/>
              </w:rPr>
              <w:t xml:space="preserve"> 3)</w:t>
            </w:r>
          </w:p>
        </w:tc>
        <w:tc>
          <w:tcPr>
            <w:tcW w:w="1973" w:type="dxa"/>
            <w:vAlign w:val="top"/>
          </w:tcPr>
          <w:p>
            <w:pPr>
              <w:jc w:val="right"/>
            </w:pPr>
            <w:r>
              <w:rPr>
                <w:rFonts w:hint="eastAsia"/>
                <w:lang w:eastAsia="zh-TW"/>
              </w:rPr>
              <w:t>未持有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108" w:type="dxa"/>
        </w:trPr>
        <w:tc>
          <w:tcPr>
            <w:tcW w:w="1158" w:type="dxa"/>
            <w:vAlign w:val="top"/>
          </w:tcPr>
          <w:p>
            <w:r>
              <w:rPr>
                <w:rFonts w:hint="eastAsia"/>
              </w:rPr>
              <w:t>侯寧</w:t>
            </w:r>
          </w:p>
        </w:tc>
        <w:tc>
          <w:tcPr>
            <w:tcW w:w="2081" w:type="dxa"/>
            <w:vAlign w:val="top"/>
          </w:tcPr>
          <w:p>
            <w:r>
              <w:rPr>
                <w:rFonts w:hint="eastAsia"/>
              </w:rPr>
              <w:t>財務負責人</w:t>
            </w:r>
          </w:p>
        </w:tc>
        <w:tc>
          <w:tcPr>
            <w:tcW w:w="2130" w:type="dxa"/>
            <w:vAlign w:val="top"/>
          </w:tcPr>
          <w:p>
            <w:pPr>
              <w:jc w:val="right"/>
            </w:pPr>
            <w:r>
              <w:rPr>
                <w:rFonts w:hint="eastAsia"/>
              </w:rPr>
              <w:t>89,686</w:t>
            </w:r>
          </w:p>
        </w:tc>
        <w:tc>
          <w:tcPr>
            <w:tcW w:w="1620" w:type="dxa"/>
            <w:vAlign w:val="top"/>
          </w:tcPr>
          <w:p>
            <w:pPr>
              <w:jc w:val="right"/>
            </w:pPr>
            <w:r>
              <w:rPr>
                <w:rFonts w:hint="eastAsia"/>
              </w:rPr>
              <w:t>89,686</w:t>
            </w:r>
          </w:p>
          <w:p>
            <w:pPr>
              <w:jc w:val="right"/>
            </w:pPr>
            <w:r>
              <w:rPr>
                <w:sz w:val="14"/>
                <w:szCs w:val="14"/>
              </w:rPr>
              <w:t>(</w:t>
            </w:r>
            <w:r>
              <w:rPr>
                <w:rFonts w:hint="eastAsia"/>
                <w:sz w:val="14"/>
                <w:szCs w:val="14"/>
              </w:rPr>
              <w:t>附註</w:t>
            </w:r>
            <w:r>
              <w:rPr>
                <w:sz w:val="14"/>
                <w:szCs w:val="14"/>
              </w:rPr>
              <w:t xml:space="preserve"> 3)</w:t>
            </w:r>
          </w:p>
        </w:tc>
        <w:tc>
          <w:tcPr>
            <w:tcW w:w="1973" w:type="dxa"/>
            <w:vAlign w:val="top"/>
          </w:tcPr>
          <w:p>
            <w:pPr>
              <w:jc w:val="right"/>
            </w:pPr>
            <w:r>
              <w:rPr>
                <w:rFonts w:hint="eastAsia"/>
                <w:lang w:eastAsia="zh-TW"/>
              </w:rPr>
              <w:t>未持有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108" w:type="dxa"/>
        </w:trPr>
        <w:tc>
          <w:tcPr>
            <w:tcW w:w="1158" w:type="dxa"/>
            <w:vAlign w:val="top"/>
          </w:tcPr>
          <w:p>
            <w:r>
              <w:rPr>
                <w:rFonts w:hint="eastAsia"/>
              </w:rPr>
              <w:t>鄭忠輝</w:t>
            </w:r>
          </w:p>
        </w:tc>
        <w:tc>
          <w:tcPr>
            <w:tcW w:w="2081" w:type="dxa"/>
            <w:vAlign w:val="top"/>
          </w:tcPr>
          <w:p>
            <w:r>
              <w:rPr>
                <w:rFonts w:hint="eastAsia"/>
              </w:rPr>
              <w:t>副總經理</w:t>
            </w:r>
          </w:p>
        </w:tc>
        <w:tc>
          <w:tcPr>
            <w:tcW w:w="2130" w:type="dxa"/>
            <w:vAlign w:val="top"/>
          </w:tcPr>
          <w:p>
            <w:pPr>
              <w:jc w:val="right"/>
            </w:pPr>
            <w:r>
              <w:rPr>
                <w:rFonts w:hint="eastAsia"/>
              </w:rPr>
              <w:t>17,937</w:t>
            </w:r>
          </w:p>
        </w:tc>
        <w:tc>
          <w:tcPr>
            <w:tcW w:w="1620" w:type="dxa"/>
            <w:vAlign w:val="top"/>
          </w:tcPr>
          <w:p>
            <w:pPr>
              <w:jc w:val="right"/>
            </w:pPr>
            <w:r>
              <w:rPr>
                <w:rFonts w:hint="eastAsia"/>
              </w:rPr>
              <w:t>17,937</w:t>
            </w:r>
          </w:p>
          <w:p>
            <w:pPr>
              <w:jc w:val="right"/>
            </w:pPr>
            <w:r>
              <w:rPr>
                <w:sz w:val="14"/>
                <w:szCs w:val="14"/>
              </w:rPr>
              <w:t>(</w:t>
            </w:r>
            <w:r>
              <w:rPr>
                <w:rFonts w:hint="eastAsia"/>
                <w:sz w:val="14"/>
                <w:szCs w:val="14"/>
              </w:rPr>
              <w:t>附註</w:t>
            </w:r>
            <w:r>
              <w:rPr>
                <w:sz w:val="14"/>
                <w:szCs w:val="14"/>
              </w:rPr>
              <w:t xml:space="preserve"> 3)</w:t>
            </w:r>
          </w:p>
        </w:tc>
        <w:tc>
          <w:tcPr>
            <w:tcW w:w="1973" w:type="dxa"/>
            <w:vAlign w:val="top"/>
          </w:tcPr>
          <w:p>
            <w:pPr>
              <w:jc w:val="right"/>
            </w:pPr>
            <w:r>
              <w:rPr>
                <w:rFonts w:hint="eastAsia"/>
                <w:lang w:eastAsia="zh-TW"/>
              </w:rPr>
              <w:t>未持有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108" w:type="dxa"/>
        </w:trPr>
        <w:tc>
          <w:tcPr>
            <w:tcW w:w="1158" w:type="dxa"/>
            <w:vAlign w:val="top"/>
          </w:tcPr>
          <w:p>
            <w:r>
              <w:rPr>
                <w:rFonts w:hint="eastAsia"/>
              </w:rPr>
              <w:t>曹長求</w:t>
            </w:r>
          </w:p>
        </w:tc>
        <w:tc>
          <w:tcPr>
            <w:tcW w:w="2081" w:type="dxa"/>
            <w:vAlign w:val="top"/>
          </w:tcPr>
          <w:p>
            <w:r>
              <w:rPr>
                <w:rFonts w:hint="eastAsia"/>
              </w:rPr>
              <w:t>董事會秘書</w:t>
            </w:r>
          </w:p>
        </w:tc>
        <w:tc>
          <w:tcPr>
            <w:tcW w:w="2130" w:type="dxa"/>
            <w:vAlign w:val="top"/>
          </w:tcPr>
          <w:p>
            <w:pPr>
              <w:jc w:val="right"/>
            </w:pPr>
            <w:r>
              <w:rPr>
                <w:rFonts w:hint="eastAsia"/>
              </w:rPr>
              <w:t>1,793</w:t>
            </w:r>
          </w:p>
        </w:tc>
        <w:tc>
          <w:tcPr>
            <w:tcW w:w="1620" w:type="dxa"/>
            <w:vAlign w:val="top"/>
          </w:tcPr>
          <w:p>
            <w:pPr>
              <w:jc w:val="right"/>
            </w:pPr>
            <w:r>
              <w:rPr>
                <w:rFonts w:hint="eastAsia"/>
              </w:rPr>
              <w:t>1,793</w:t>
            </w:r>
          </w:p>
          <w:p>
            <w:pPr>
              <w:jc w:val="right"/>
            </w:pPr>
            <w:r>
              <w:rPr>
                <w:sz w:val="14"/>
                <w:szCs w:val="14"/>
              </w:rPr>
              <w:t>(</w:t>
            </w:r>
            <w:r>
              <w:rPr>
                <w:rFonts w:hint="eastAsia"/>
                <w:sz w:val="14"/>
                <w:szCs w:val="14"/>
              </w:rPr>
              <w:t>附註</w:t>
            </w:r>
            <w:r>
              <w:rPr>
                <w:sz w:val="14"/>
                <w:szCs w:val="14"/>
              </w:rPr>
              <w:t xml:space="preserve"> 3)</w:t>
            </w:r>
          </w:p>
        </w:tc>
        <w:tc>
          <w:tcPr>
            <w:tcW w:w="1973" w:type="dxa"/>
            <w:vAlign w:val="top"/>
          </w:tcPr>
          <w:p>
            <w:pPr>
              <w:jc w:val="right"/>
            </w:pPr>
            <w:r>
              <w:rPr>
                <w:rFonts w:hint="eastAsia"/>
                <w:lang w:eastAsia="zh-TW"/>
              </w:rPr>
              <w:t>未持有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108" w:type="dxa"/>
        </w:trPr>
        <w:tc>
          <w:tcPr>
            <w:tcW w:w="1158" w:type="dxa"/>
            <w:vAlign w:val="top"/>
          </w:tcPr>
          <w:p/>
        </w:tc>
        <w:tc>
          <w:tcPr>
            <w:tcW w:w="2081" w:type="dxa"/>
            <w:vAlign w:val="top"/>
          </w:tcPr>
          <w:p/>
        </w:tc>
        <w:tc>
          <w:tcPr>
            <w:tcW w:w="2130" w:type="dxa"/>
            <w:vAlign w:val="top"/>
          </w:tcPr>
          <w:p>
            <w:pPr>
              <w:jc w:val="right"/>
            </w:pPr>
          </w:p>
        </w:tc>
        <w:tc>
          <w:tcPr>
            <w:tcW w:w="1620" w:type="dxa"/>
            <w:vAlign w:val="top"/>
          </w:tcPr>
          <w:p>
            <w:pPr>
              <w:jc w:val="right"/>
            </w:pPr>
          </w:p>
        </w:tc>
        <w:tc>
          <w:tcPr>
            <w:tcW w:w="1973" w:type="dxa"/>
            <w:vAlign w:val="top"/>
          </w:tcPr>
          <w:p>
            <w:pPr>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108" w:type="dxa"/>
        </w:trPr>
        <w:tc>
          <w:tcPr>
            <w:tcW w:w="1158" w:type="dxa"/>
            <w:vAlign w:val="top"/>
          </w:tcPr>
          <w:p>
            <w:pPr>
              <w:rPr>
                <w:b/>
              </w:rPr>
            </w:pPr>
            <w:r>
              <w:rPr>
                <w:rFonts w:hint="eastAsia"/>
                <w:b/>
              </w:rPr>
              <w:t>合計</w:t>
            </w:r>
          </w:p>
        </w:tc>
        <w:tc>
          <w:tcPr>
            <w:tcW w:w="2081" w:type="dxa"/>
            <w:vAlign w:val="top"/>
          </w:tcPr>
          <w:p>
            <w:pPr>
              <w:rPr>
                <w:b/>
              </w:rPr>
            </w:pPr>
          </w:p>
        </w:tc>
        <w:tc>
          <w:tcPr>
            <w:tcW w:w="2130" w:type="dxa"/>
            <w:vAlign w:val="top"/>
          </w:tcPr>
          <w:p>
            <w:pPr>
              <w:jc w:val="right"/>
              <w:rPr>
                <w:b/>
              </w:rPr>
            </w:pPr>
            <w:r>
              <w:rPr>
                <w:b/>
              </w:rPr>
              <w:t>820,863</w:t>
            </w:r>
          </w:p>
        </w:tc>
        <w:tc>
          <w:tcPr>
            <w:tcW w:w="1620" w:type="dxa"/>
            <w:vAlign w:val="top"/>
          </w:tcPr>
          <w:p>
            <w:pPr>
              <w:jc w:val="right"/>
              <w:rPr>
                <w:b/>
              </w:rPr>
            </w:pPr>
            <w:r>
              <w:rPr>
                <w:rFonts w:hint="eastAsia"/>
                <w:b/>
              </w:rPr>
              <w:t>808,963</w:t>
            </w:r>
          </w:p>
        </w:tc>
        <w:tc>
          <w:tcPr>
            <w:tcW w:w="1973" w:type="dxa"/>
            <w:vAlign w:val="top"/>
          </w:tcPr>
          <w:p>
            <w:pPr>
              <w:jc w:val="right"/>
              <w:rPr>
                <w:b/>
              </w:rPr>
            </w:pPr>
            <w:r>
              <w:rPr>
                <w:b/>
              </w:rPr>
              <w:t>11,900</w:t>
            </w:r>
          </w:p>
        </w:tc>
      </w:tr>
    </w:tbl>
    <w:p>
      <w:pPr>
        <w:widowControl/>
        <w:jc w:val="left"/>
        <w:rPr>
          <w:sz w:val="22"/>
        </w:rPr>
      </w:pPr>
    </w:p>
    <w:p>
      <w:pPr>
        <w:widowControl/>
        <w:jc w:val="left"/>
        <w:rPr>
          <w:sz w:val="22"/>
          <w:szCs w:val="22"/>
          <w:lang w:eastAsia="zh-TW"/>
        </w:rPr>
      </w:pPr>
    </w:p>
    <w:p>
      <w:pPr>
        <w:widowControl/>
        <w:jc w:val="left"/>
        <w:rPr>
          <w:sz w:val="22"/>
          <w:szCs w:val="22"/>
          <w:lang w:eastAsia="zh-TW"/>
        </w:rPr>
      </w:pPr>
      <w:r>
        <w:rPr>
          <w:rFonts w:hint="eastAsia"/>
          <w:b/>
          <w:sz w:val="22"/>
          <w:lang w:eastAsia="zh-TW"/>
        </w:rPr>
        <w:t>附注：</w:t>
      </w:r>
    </w:p>
    <w:p>
      <w:pPr>
        <w:widowControl/>
        <w:jc w:val="left"/>
        <w:rPr>
          <w:b/>
          <w:sz w:val="24"/>
          <w:lang w:eastAsia="zh-TW"/>
        </w:rPr>
      </w:pPr>
      <w:r>
        <w:rPr>
          <w:sz w:val="20"/>
          <w:lang w:eastAsia="zh-TW"/>
        </w:rPr>
        <w:t xml:space="preserve">(1) </w:t>
      </w:r>
      <w:r>
        <w:rPr>
          <w:rFonts w:hint="eastAsia"/>
          <w:sz w:val="22"/>
          <w:lang w:eastAsia="zh-TW"/>
        </w:rPr>
        <w:t>本公司董事、監事及高管所持有本公司權益均為</w:t>
      </w:r>
      <w:r>
        <w:rPr>
          <w:sz w:val="22"/>
          <w:lang w:eastAsia="zh-TW"/>
        </w:rPr>
        <w:t>A</w:t>
      </w:r>
      <w:r>
        <w:rPr>
          <w:rFonts w:hint="eastAsia"/>
          <w:sz w:val="22"/>
          <w:lang w:eastAsia="zh-TW"/>
        </w:rPr>
        <w:t>股長倉。</w:t>
      </w:r>
    </w:p>
    <w:p>
      <w:pPr>
        <w:pStyle w:val="24"/>
        <w:rPr>
          <w:rFonts w:ascii="Times New Roman" w:hAnsi="Times New Roman"/>
          <w:sz w:val="23"/>
          <w:szCs w:val="23"/>
          <w:lang w:eastAsia="zh-TW"/>
        </w:rPr>
      </w:pPr>
      <w:r>
        <w:rPr>
          <w:rFonts w:ascii="Times New Roman" w:hAnsi="Times New Roman"/>
          <w:lang w:eastAsia="zh-TW"/>
        </w:rPr>
        <w:t xml:space="preserve">(2) </w:t>
      </w:r>
      <w:r>
        <w:rPr>
          <w:rFonts w:hint="eastAsia" w:ascii="Times New Roman" w:hAnsi="Times New Roman"/>
          <w:sz w:val="23"/>
          <w:szCs w:val="23"/>
          <w:lang w:eastAsia="zh-TW"/>
        </w:rPr>
        <w:t>張代銘先生名下持有</w:t>
      </w:r>
      <w:r>
        <w:rPr>
          <w:rFonts w:ascii="Times New Roman" w:hAnsi="Times New Roman"/>
          <w:sz w:val="23"/>
          <w:szCs w:val="23"/>
          <w:lang w:eastAsia="zh-TW"/>
        </w:rPr>
        <w:t>11,900</w:t>
      </w:r>
      <w:r>
        <w:rPr>
          <w:rFonts w:hint="eastAsia" w:ascii="Times New Roman" w:hAnsi="Times New Roman"/>
          <w:sz w:val="23"/>
          <w:szCs w:val="23"/>
          <w:lang w:eastAsia="zh-TW"/>
        </w:rPr>
        <w:t>股</w:t>
      </w:r>
      <w:r>
        <w:rPr>
          <w:rFonts w:ascii="Times New Roman" w:hAnsi="Times New Roman"/>
          <w:sz w:val="23"/>
          <w:szCs w:val="23"/>
          <w:lang w:eastAsia="zh-TW"/>
        </w:rPr>
        <w:t>A</w:t>
      </w:r>
      <w:r>
        <w:rPr>
          <w:rFonts w:hint="eastAsia" w:ascii="Times New Roman" w:hAnsi="Times New Roman"/>
          <w:sz w:val="23"/>
          <w:szCs w:val="23"/>
          <w:lang w:eastAsia="zh-TW"/>
        </w:rPr>
        <w:t>股股份。</w:t>
      </w:r>
    </w:p>
    <w:p>
      <w:pPr>
        <w:pStyle w:val="24"/>
        <w:rPr>
          <w:rFonts w:ascii="Times New Roman" w:hAnsi="Times New Roman"/>
          <w:b/>
          <w:sz w:val="24"/>
          <w:szCs w:val="24"/>
          <w:lang w:eastAsia="zh-TW"/>
        </w:rPr>
      </w:pPr>
      <w:r>
        <w:rPr>
          <w:rFonts w:ascii="Times New Roman" w:hAnsi="Times New Roman"/>
          <w:lang w:eastAsia="zh-TW"/>
        </w:rPr>
        <w:t xml:space="preserve">(3) </w:t>
      </w:r>
      <w:r>
        <w:rPr>
          <w:rFonts w:hint="eastAsia" w:hAnsi="宋体"/>
          <w:sz w:val="23"/>
          <w:szCs w:val="23"/>
          <w:lang w:eastAsia="zh-TW"/>
        </w:rPr>
        <w:t>相關股份由本公司員工持股計劃所持有，而有關人士為員工持股計劃之</w:t>
      </w:r>
      <w:r>
        <w:rPr>
          <w:rFonts w:hint="eastAsia" w:ascii="Times New Roman" w:hAnsi="Times New Roman"/>
          <w:sz w:val="23"/>
          <w:szCs w:val="23"/>
          <w:lang w:eastAsia="zh-TW"/>
        </w:rPr>
        <w:t>參與者。</w:t>
      </w:r>
    </w:p>
    <w:p>
      <w:pPr>
        <w:pStyle w:val="24"/>
        <w:rPr>
          <w:rFonts w:ascii="Times New Roman" w:hAnsi="Times New Roman"/>
          <w:b/>
          <w:sz w:val="24"/>
          <w:lang w:eastAsia="zh-TW"/>
        </w:rPr>
      </w:pPr>
      <w:r>
        <w:rPr>
          <w:rFonts w:ascii="Times New Roman" w:hAnsi="Times New Roman"/>
          <w:lang w:eastAsia="zh-TW"/>
        </w:rPr>
        <w:t xml:space="preserve">(4) </w:t>
      </w:r>
      <w:r>
        <w:rPr>
          <w:rFonts w:hint="eastAsia" w:ascii="Times New Roman" w:hAnsi="Times New Roman"/>
          <w:kern w:val="2"/>
          <w:sz w:val="22"/>
          <w:lang w:eastAsia="zh-TW"/>
        </w:rPr>
        <w:t>就公司董事、高管及監事所知悉，除上述披露外，截至</w:t>
      </w:r>
      <w:r>
        <w:rPr>
          <w:rFonts w:ascii="Times New Roman" w:hAnsi="Times New Roman"/>
          <w:kern w:val="2"/>
          <w:sz w:val="22"/>
          <w:lang w:eastAsia="zh-TW"/>
        </w:rPr>
        <w:t xml:space="preserve"> 2017 年 12 月 31 日，沒有本公司董事、高管或監事在本公司及其/或任何相</w:t>
      </w:r>
      <w:r>
        <w:rPr>
          <w:rFonts w:hint="eastAsia" w:ascii="Times New Roman" w:hAnsi="Times New Roman"/>
          <w:kern w:val="2"/>
          <w:sz w:val="22"/>
          <w:lang w:eastAsia="zh-TW"/>
        </w:rPr>
        <w:t>聯法團（定義見香港法例第</w:t>
      </w:r>
      <w:r>
        <w:rPr>
          <w:rFonts w:ascii="Times New Roman" w:hAnsi="Times New Roman"/>
          <w:kern w:val="2"/>
          <w:sz w:val="22"/>
          <w:lang w:eastAsia="zh-TW"/>
        </w:rPr>
        <w:t xml:space="preserve"> 571 章《證券及期貨條例》第 XV 部）的股份、相關股份及/或債券（視情況而定）中擁有任何需根據《證券及期貨條例》第 XV </w:t>
      </w:r>
      <w:r>
        <w:rPr>
          <w:rFonts w:hint="eastAsia" w:ascii="Times New Roman" w:hAnsi="Times New Roman"/>
          <w:kern w:val="2"/>
          <w:sz w:val="22"/>
          <w:lang w:eastAsia="zh-TW"/>
        </w:rPr>
        <w:t>部第</w:t>
      </w:r>
      <w:r>
        <w:rPr>
          <w:rFonts w:ascii="Times New Roman" w:hAnsi="Times New Roman"/>
          <w:kern w:val="2"/>
          <w:sz w:val="22"/>
          <w:lang w:eastAsia="zh-TW"/>
        </w:rPr>
        <w:t xml:space="preserve"> 7 和第 8 部分需知會本公司香港聯交所的權益</w:t>
      </w:r>
      <w:r>
        <w:rPr>
          <w:rFonts w:hint="eastAsia" w:ascii="Times New Roman" w:hAnsi="Times New Roman"/>
          <w:kern w:val="2"/>
          <w:sz w:val="22"/>
          <w:lang w:eastAsia="zh-TW"/>
        </w:rPr>
        <w:t>或淡倉（包括根據《證券及期貨條例》該些章節的規定或而被當作這些董事、高管及監事擁有的權益或淡倉），或根據《證券及期貨條例》第</w:t>
      </w:r>
      <w:r>
        <w:rPr>
          <w:rFonts w:ascii="Times New Roman" w:hAnsi="Times New Roman"/>
          <w:kern w:val="2"/>
          <w:sz w:val="22"/>
          <w:lang w:eastAsia="zh-TW"/>
        </w:rPr>
        <w:t xml:space="preserve"> 352 </w:t>
      </w:r>
      <w:r>
        <w:rPr>
          <w:rFonts w:hint="eastAsia" w:ascii="Times New Roman" w:hAnsi="Times New Roman"/>
          <w:kern w:val="2"/>
          <w:sz w:val="22"/>
          <w:lang w:eastAsia="zh-TW"/>
        </w:rPr>
        <w:t>條規定而記錄於本公司保存的登記冊的權益或淡倉，或根據上市規則附錄十中的「上市發行人董事進行證券交易的標準規則」須知會本公司及香港聯交所的權益或淡倉。</w:t>
      </w:r>
    </w:p>
    <w:p>
      <w:pPr>
        <w:pStyle w:val="24"/>
        <w:rPr>
          <w:rFonts w:ascii="Times New Roman" w:hAnsi="Times New Roman"/>
          <w:b/>
          <w:sz w:val="24"/>
          <w:lang w:eastAsia="zh-TW"/>
        </w:rPr>
      </w:pPr>
    </w:p>
    <w:p>
      <w:pPr>
        <w:pStyle w:val="24"/>
        <w:rPr>
          <w:rFonts w:ascii="Times New Roman" w:hAnsi="Times New Roman"/>
          <w:b/>
          <w:sz w:val="24"/>
          <w:lang w:eastAsia="zh-TW"/>
        </w:rPr>
      </w:pPr>
      <w:r>
        <w:rPr>
          <w:rFonts w:hint="eastAsia" w:ascii="Times New Roman" w:hAnsi="Times New Roman"/>
          <w:b/>
          <w:sz w:val="24"/>
          <w:lang w:eastAsia="zh-TW"/>
        </w:rPr>
        <w:t>六、主營業務及財務狀況</w:t>
      </w:r>
    </w:p>
    <w:p>
      <w:pPr>
        <w:pStyle w:val="24"/>
        <w:spacing w:line="320" w:lineRule="exact"/>
        <w:rPr>
          <w:rFonts w:ascii="Times New Roman" w:hAnsi="Times New Roman"/>
          <w:sz w:val="22"/>
          <w:lang w:eastAsia="zh-TW"/>
        </w:rPr>
      </w:pPr>
      <w:r>
        <w:rPr>
          <w:rFonts w:hint="eastAsia" w:ascii="Times New Roman" w:hAnsi="Times New Roman"/>
          <w:sz w:val="22"/>
          <w:lang w:eastAsia="zh-TW"/>
        </w:rPr>
        <w:t>本集團主要從事開發、製造和銷售化學原料藥、製劑、醫藥中間體及其他產品。</w:t>
      </w:r>
    </w:p>
    <w:p>
      <w:pPr>
        <w:rPr>
          <w:b/>
          <w:sz w:val="24"/>
          <w:lang w:eastAsia="zh-TW"/>
        </w:rPr>
      </w:pPr>
      <w:r>
        <w:rPr>
          <w:rFonts w:hint="eastAsia"/>
          <w:b/>
          <w:sz w:val="24"/>
          <w:lang w:eastAsia="zh-TW"/>
        </w:rPr>
        <w:t>按《中國企業會計準則》披露的經營狀況及財務狀況分析</w:t>
      </w:r>
    </w:p>
    <w:p>
      <w:pPr>
        <w:rPr>
          <w:lang w:eastAsia="zh-TW"/>
        </w:rPr>
      </w:pPr>
      <w:r>
        <w:rPr>
          <w:rFonts w:hint="eastAsia"/>
          <w:lang w:eastAsia="zh-TW"/>
        </w:rPr>
        <w:t>於</w:t>
      </w:r>
      <w:r>
        <w:rPr>
          <w:lang w:eastAsia="zh-TW"/>
        </w:rPr>
        <w:t>2017年12月31日本集團總資產為人民幣5,273,647千元，較年初上升11.66%，總資產上升的主要原因是本年度完成非公開發行A股股票及本年度經營產生盈利導致貨幣資金等增加所致。</w:t>
      </w:r>
    </w:p>
    <w:p>
      <w:pPr>
        <w:rPr>
          <w:lang w:eastAsia="zh-TW"/>
        </w:rPr>
      </w:pPr>
      <w:r>
        <w:rPr>
          <w:rFonts w:hint="eastAsia"/>
          <w:lang w:eastAsia="zh-TW"/>
        </w:rPr>
        <w:t>於</w:t>
      </w:r>
      <w:r>
        <w:rPr>
          <w:lang w:eastAsia="zh-TW"/>
        </w:rPr>
        <w:t>2017年12月31日本集團貨幣資金為人民幣731,126千元，較年初上升30.25%，上升的主要原因是本年度完成非公開發行A股股票及本年度經營產生盈利所致。</w:t>
      </w:r>
    </w:p>
    <w:p>
      <w:pPr>
        <w:rPr>
          <w:lang w:eastAsia="zh-TW"/>
        </w:rPr>
      </w:pPr>
      <w:r>
        <w:rPr>
          <w:rFonts w:hint="eastAsia"/>
          <w:lang w:eastAsia="zh-TW"/>
        </w:rPr>
        <w:t>於</w:t>
      </w:r>
      <w:r>
        <w:rPr>
          <w:lang w:eastAsia="zh-TW"/>
        </w:rPr>
        <w:t>2017年12月31日本集團存貨為人民幣713,211千元，較年初上升27.48%，上升的主要原因是本年度為應對</w:t>
      </w:r>
      <w:r>
        <w:rPr>
          <w:rFonts w:hint="eastAsia"/>
          <w:lang w:eastAsia="zh-TW"/>
        </w:rPr>
        <w:t>冬季錯峰生產不確定性因素而備貨，部分產成品及原材料上升較大所致。</w:t>
      </w:r>
    </w:p>
    <w:p>
      <w:pPr>
        <w:rPr>
          <w:lang w:eastAsia="zh-TW"/>
        </w:rPr>
      </w:pPr>
      <w:r>
        <w:rPr>
          <w:rFonts w:hint="eastAsia"/>
          <w:lang w:eastAsia="zh-TW"/>
        </w:rPr>
        <w:t>於</w:t>
      </w:r>
      <w:r>
        <w:rPr>
          <w:lang w:eastAsia="zh-TW"/>
        </w:rPr>
        <w:t>2017年12月31日本集團可供出售金融資產為人民幣258,141千元，較年初上升36.24%；其他綜合收益為人民幣199,385千元，較年初上升43.01%，上升的主要原因是本年度可供出售金融資產公允價值上升所致。</w:t>
      </w:r>
    </w:p>
    <w:p>
      <w:pPr>
        <w:rPr>
          <w:lang w:eastAsia="zh-TW"/>
        </w:rPr>
      </w:pPr>
      <w:r>
        <w:rPr>
          <w:rFonts w:hint="eastAsia"/>
          <w:lang w:eastAsia="zh-TW"/>
        </w:rPr>
        <w:t>於</w:t>
      </w:r>
      <w:r>
        <w:rPr>
          <w:lang w:eastAsia="zh-TW"/>
        </w:rPr>
        <w:t>2017年12月31日本集團在建工程為人民幣434,546</w:t>
      </w:r>
      <w:r>
        <w:rPr>
          <w:rFonts w:hint="eastAsia" w:cs="宋体"/>
          <w:lang w:eastAsia="zh-TW"/>
        </w:rPr>
        <w:t>千</w:t>
      </w:r>
      <w:r>
        <w:rPr>
          <w:rFonts w:hint="eastAsia"/>
          <w:lang w:eastAsia="zh-TW"/>
        </w:rPr>
        <w:t>元，較年初上升</w:t>
      </w:r>
      <w:r>
        <w:rPr>
          <w:lang w:eastAsia="zh-TW"/>
        </w:rPr>
        <w:t>58.35%，上升的主要原因是本年度現代醫藥國際合作中心等工程項目投入不斷增加所致。</w:t>
      </w:r>
    </w:p>
    <w:p>
      <w:pPr>
        <w:rPr>
          <w:lang w:eastAsia="zh-TW"/>
        </w:rPr>
      </w:pPr>
      <w:r>
        <w:rPr>
          <w:rFonts w:hint="eastAsia"/>
          <w:lang w:eastAsia="zh-TW"/>
        </w:rPr>
        <w:t>於</w:t>
      </w:r>
      <w:r>
        <w:rPr>
          <w:lang w:eastAsia="zh-TW"/>
        </w:rPr>
        <w:t>2017年12月31日本集團短期借款為人民幣151,838千元，較年初減少人民幣758,162千元；</w:t>
      </w:r>
      <w:r>
        <w:rPr>
          <w:rFonts w:hint="eastAsia"/>
          <w:lang w:eastAsia="zh-TW"/>
        </w:rPr>
        <w:t>一年內到期的非流動負債為人民幣</w:t>
      </w:r>
      <w:r>
        <w:rPr>
          <w:lang w:eastAsia="zh-TW"/>
        </w:rPr>
        <w:t>89,622千元，較年初減少人民幣255,232千元；長期借款為人民幣931,500千元，較年初增加人民幣831,500千元，銀行借款結構變動較大的主要原因是本年度積極拓寬融資管道，優化融資結構所致。</w:t>
      </w:r>
    </w:p>
    <w:p>
      <w:pPr>
        <w:rPr>
          <w:lang w:eastAsia="zh-TW"/>
        </w:rPr>
      </w:pPr>
      <w:r>
        <w:rPr>
          <w:rFonts w:hint="eastAsia"/>
          <w:lang w:eastAsia="zh-TW"/>
        </w:rPr>
        <w:t>於</w:t>
      </w:r>
      <w:r>
        <w:rPr>
          <w:lang w:eastAsia="zh-TW"/>
        </w:rPr>
        <w:t>2017年12月31日本集團預收款項為人民幣123,295千元，較年初上升82.95%，上升的主要原因是本年度</w:t>
      </w:r>
      <w:r>
        <w:rPr>
          <w:rFonts w:hint="eastAsia" w:cs="宋体"/>
          <w:lang w:eastAsia="zh-TW"/>
        </w:rPr>
        <w:t>本集團</w:t>
      </w:r>
      <w:r>
        <w:rPr>
          <w:rFonts w:hint="eastAsia"/>
          <w:lang w:eastAsia="zh-TW"/>
        </w:rPr>
        <w:t>子公司預收銷房款所致。</w:t>
      </w:r>
    </w:p>
    <w:p>
      <w:pPr>
        <w:rPr>
          <w:lang w:eastAsia="zh-TW"/>
        </w:rPr>
      </w:pPr>
      <w:r>
        <w:rPr>
          <w:rFonts w:hint="eastAsia"/>
          <w:lang w:eastAsia="zh-TW"/>
        </w:rPr>
        <w:t>於</w:t>
      </w:r>
      <w:r>
        <w:rPr>
          <w:lang w:eastAsia="zh-TW"/>
        </w:rPr>
        <w:t>2017年12月31日本集團應交稅費為人民幣11,998千元，較年初下降32.20%，下降的</w:t>
      </w:r>
      <w:r>
        <w:rPr>
          <w:rFonts w:cs="宋体"/>
          <w:lang w:eastAsia="zh-TW"/>
        </w:rPr>
        <w:t>主</w:t>
      </w:r>
      <w:r>
        <w:rPr>
          <w:rFonts w:hint="eastAsia" w:cs="宋体"/>
          <w:lang w:eastAsia="zh-TW"/>
        </w:rPr>
        <w:t>要</w:t>
      </w:r>
      <w:r>
        <w:rPr>
          <w:rFonts w:hint="eastAsia"/>
          <w:lang w:eastAsia="zh-TW"/>
        </w:rPr>
        <w:t>原因是本年末</w:t>
      </w:r>
      <w:r>
        <w:rPr>
          <w:rFonts w:hint="eastAsia" w:cs="宋体"/>
          <w:lang w:eastAsia="zh-TW"/>
        </w:rPr>
        <w:t>應</w:t>
      </w:r>
      <w:r>
        <w:rPr>
          <w:rFonts w:hint="eastAsia"/>
          <w:lang w:eastAsia="zh-TW"/>
        </w:rPr>
        <w:t>交</w:t>
      </w:r>
      <w:r>
        <w:rPr>
          <w:rFonts w:hint="eastAsia" w:cs="宋体"/>
          <w:lang w:eastAsia="zh-TW"/>
        </w:rPr>
        <w:t>增值稅</w:t>
      </w:r>
      <w:r>
        <w:rPr>
          <w:rFonts w:hint="eastAsia"/>
          <w:lang w:eastAsia="zh-TW"/>
        </w:rPr>
        <w:t>及</w:t>
      </w:r>
      <w:r>
        <w:rPr>
          <w:rFonts w:hint="eastAsia" w:cs="宋体"/>
          <w:lang w:eastAsia="zh-TW"/>
        </w:rPr>
        <w:t>所得稅減少</w:t>
      </w:r>
      <w:r>
        <w:rPr>
          <w:rFonts w:hint="eastAsia"/>
          <w:lang w:eastAsia="zh-TW"/>
        </w:rPr>
        <w:t>所致。</w:t>
      </w:r>
    </w:p>
    <w:p>
      <w:pPr>
        <w:rPr>
          <w:lang w:eastAsia="zh-TW"/>
        </w:rPr>
      </w:pPr>
      <w:r>
        <w:rPr>
          <w:rFonts w:hint="eastAsia"/>
          <w:lang w:eastAsia="zh-TW"/>
        </w:rPr>
        <w:t>於</w:t>
      </w:r>
      <w:r>
        <w:rPr>
          <w:lang w:eastAsia="zh-TW"/>
        </w:rPr>
        <w:t>2017年12月31日本集團應付股利為人民幣19,661千元，較年初人民幣5,311千元增加人民幣14,351千元，增加的主要原因是</w:t>
      </w:r>
      <w:r>
        <w:rPr>
          <w:rFonts w:hint="eastAsia"/>
          <w:lang w:eastAsia="zh-TW"/>
        </w:rPr>
        <w:t>已經股東大會通過的</w:t>
      </w:r>
      <w:r>
        <w:rPr>
          <w:lang w:eastAsia="zh-TW"/>
        </w:rPr>
        <w:t>特別股息</w:t>
      </w:r>
      <w:r>
        <w:rPr>
          <w:rFonts w:hint="eastAsia"/>
          <w:lang w:eastAsia="zh-TW"/>
        </w:rPr>
        <w:t>當時</w:t>
      </w:r>
      <w:r>
        <w:rPr>
          <w:lang w:eastAsia="zh-TW"/>
        </w:rPr>
        <w:t>尚未派發完畢所致。</w:t>
      </w:r>
    </w:p>
    <w:p>
      <w:pPr>
        <w:rPr>
          <w:lang w:eastAsia="zh-TW"/>
        </w:rPr>
      </w:pPr>
      <w:r>
        <w:rPr>
          <w:rFonts w:hint="eastAsia"/>
          <w:lang w:eastAsia="zh-TW"/>
        </w:rPr>
        <w:t>於</w:t>
      </w:r>
      <w:r>
        <w:rPr>
          <w:lang w:eastAsia="zh-TW"/>
        </w:rPr>
        <w:t>2017年12月31日本集團其他應付款為人民幣280,115千元，較年初上升71.48%，上升的主要原因是本年度應付工程項目款及設備款增加所致。</w:t>
      </w:r>
    </w:p>
    <w:p>
      <w:pPr>
        <w:rPr>
          <w:lang w:eastAsia="zh-TW"/>
        </w:rPr>
      </w:pPr>
      <w:r>
        <w:rPr>
          <w:rFonts w:hint="eastAsia"/>
          <w:lang w:eastAsia="zh-TW"/>
        </w:rPr>
        <w:t>於</w:t>
      </w:r>
      <w:r>
        <w:rPr>
          <w:lang w:eastAsia="zh-TW"/>
        </w:rPr>
        <w:t>2017年12月31日本集團資本公積為人民幣728,450千元，較年初上升41.97%，上升的主要原因是本年度完成非公開發行A股股票所致。</w:t>
      </w:r>
    </w:p>
    <w:p>
      <w:pPr>
        <w:ind w:firstLine="420" w:firstLineChars="200"/>
        <w:rPr>
          <w:lang w:eastAsia="zh-TW"/>
        </w:rPr>
      </w:pPr>
    </w:p>
    <w:p>
      <w:pPr>
        <w:rPr>
          <w:lang w:eastAsia="zh-TW"/>
        </w:rPr>
      </w:pPr>
      <w:r>
        <w:rPr>
          <w:rFonts w:hint="eastAsia"/>
          <w:lang w:eastAsia="zh-TW"/>
        </w:rPr>
        <w:t>於</w:t>
      </w:r>
      <w:r>
        <w:rPr>
          <w:lang w:eastAsia="zh-TW"/>
        </w:rPr>
        <w:t>2017年12月31日歸屬於</w:t>
      </w:r>
      <w:r>
        <w:rPr>
          <w:rFonts w:hint="eastAsia" w:cs="宋体"/>
          <w:lang w:eastAsia="zh-TW"/>
        </w:rPr>
        <w:t>本公司</w:t>
      </w:r>
      <w:r>
        <w:rPr>
          <w:rFonts w:hint="eastAsia"/>
          <w:lang w:eastAsia="zh-TW"/>
        </w:rPr>
        <w:t>股東權益為人民幣</w:t>
      </w:r>
      <w:r>
        <w:rPr>
          <w:lang w:eastAsia="zh-TW"/>
        </w:rPr>
        <w:t>2,480,024千元，較年初上升24.72%，上升的主要原因是本年度完成非公開發行A股股票及本年度經營產生盈利所致。</w:t>
      </w:r>
    </w:p>
    <w:p>
      <w:pPr>
        <w:rPr>
          <w:lang w:eastAsia="zh-TW"/>
        </w:rPr>
      </w:pPr>
      <w:r>
        <w:rPr>
          <w:rFonts w:hint="eastAsia"/>
          <w:lang w:eastAsia="zh-TW"/>
        </w:rPr>
        <w:t>於</w:t>
      </w:r>
      <w:r>
        <w:rPr>
          <w:lang w:eastAsia="zh-TW"/>
        </w:rPr>
        <w:t>2017年12月31日本集團負債總額為人民幣2,694,194千元，較年初上升1.92%。</w:t>
      </w:r>
    </w:p>
    <w:p>
      <w:pPr>
        <w:rPr>
          <w:lang w:eastAsia="zh-TW"/>
        </w:rPr>
      </w:pPr>
      <w:r>
        <w:rPr>
          <w:lang w:eastAsia="zh-TW"/>
        </w:rPr>
        <w:t>2017年度本集團營業利潤為人民幣</w:t>
      </w:r>
      <w:r>
        <w:rPr>
          <w:rFonts w:hint="eastAsia"/>
          <w:lang w:eastAsia="zh-TW"/>
        </w:rPr>
        <w:t>281</w:t>
      </w:r>
      <w:r>
        <w:rPr>
          <w:lang w:eastAsia="zh-TW"/>
        </w:rPr>
        <w:t>,</w:t>
      </w:r>
      <w:r>
        <w:rPr>
          <w:rFonts w:hint="eastAsia"/>
          <w:lang w:eastAsia="zh-TW"/>
        </w:rPr>
        <w:t>681</w:t>
      </w:r>
      <w:r>
        <w:rPr>
          <w:lang w:eastAsia="zh-TW"/>
        </w:rPr>
        <w:t>千元，較去年同期增長</w:t>
      </w:r>
      <w:r>
        <w:rPr>
          <w:rFonts w:hint="eastAsia"/>
          <w:lang w:eastAsia="zh-TW"/>
        </w:rPr>
        <w:t>84.81</w:t>
      </w:r>
      <w:r>
        <w:rPr>
          <w:lang w:eastAsia="zh-TW"/>
        </w:rPr>
        <w:t xml:space="preserve">%； </w:t>
      </w:r>
      <w:r>
        <w:rPr>
          <w:rFonts w:hint="eastAsia"/>
          <w:lang w:eastAsia="zh-TW"/>
        </w:rPr>
        <w:t>利潤總額為</w:t>
      </w:r>
      <w:r>
        <w:rPr>
          <w:lang w:eastAsia="zh-TW"/>
        </w:rPr>
        <w:t>人民幣268,174千元，較去年同期增長67.64%；歸屬於</w:t>
      </w:r>
      <w:r>
        <w:rPr>
          <w:rFonts w:hint="eastAsia" w:cs="宋体"/>
          <w:lang w:eastAsia="zh-TW"/>
        </w:rPr>
        <w:t>本公司</w:t>
      </w:r>
      <w:r>
        <w:rPr>
          <w:rFonts w:hint="eastAsia"/>
          <w:lang w:eastAsia="zh-TW"/>
        </w:rPr>
        <w:t>股東的淨利潤為人民幣</w:t>
      </w:r>
      <w:r>
        <w:rPr>
          <w:lang w:eastAsia="zh-TW"/>
        </w:rPr>
        <w:t>209,592千元，較去年同期增長71.42%，增長的主要原因是（1）本年度狠抓市場機遇，積極開拓市場，鞏固產品市場地位，銷售規模進一步擴大及主要產品價格不斷上升；（2）繼續深入開展產品技術攻關活動，努力降低產品成本。</w:t>
      </w:r>
    </w:p>
    <w:p>
      <w:pPr>
        <w:rPr>
          <w:lang w:eastAsia="zh-TW"/>
        </w:rPr>
      </w:pPr>
      <w:r>
        <w:rPr>
          <w:lang w:eastAsia="zh-TW"/>
        </w:rPr>
        <w:t>2017年度本集團銷售費用人民幣509,749千元，較去年同期增長26.08%，增長的主要原因是加大市場開拓力度，終端銷售費增加所致。</w:t>
      </w:r>
    </w:p>
    <w:p>
      <w:pPr>
        <w:rPr>
          <w:lang w:eastAsia="zh-TW"/>
        </w:rPr>
      </w:pPr>
      <w:r>
        <w:rPr>
          <w:lang w:eastAsia="zh-TW"/>
        </w:rPr>
        <w:t>2017年度本集團管理費用人民幣384,708千元，較去年同期增長14.54%，增長的主要原因是本年度加大研發投入，研發費用增加所致。</w:t>
      </w:r>
    </w:p>
    <w:p>
      <w:pPr>
        <w:rPr>
          <w:lang w:eastAsia="zh-TW"/>
        </w:rPr>
      </w:pPr>
      <w:r>
        <w:rPr>
          <w:lang w:eastAsia="zh-TW"/>
        </w:rPr>
        <w:t>2017年度本集團財務費用人民幣79,745千元，較去年同期增長53.83%，增長的主要原因是本年度匯率變動導致匯兌損失增加所致。</w:t>
      </w:r>
    </w:p>
    <w:p>
      <w:pPr>
        <w:rPr>
          <w:lang w:eastAsia="zh-TW"/>
        </w:rPr>
      </w:pPr>
      <w:r>
        <w:rPr>
          <w:lang w:eastAsia="zh-TW"/>
        </w:rPr>
        <w:t>2017</w:t>
      </w:r>
      <w:r>
        <w:rPr>
          <w:rFonts w:hint="eastAsia"/>
          <w:lang w:eastAsia="zh-TW"/>
        </w:rPr>
        <w:t>年度本集團現金及現金等價物淨增加額為人民幣</w:t>
      </w:r>
      <w:r>
        <w:rPr>
          <w:lang w:eastAsia="zh-TW"/>
        </w:rPr>
        <w:t>189,770</w:t>
      </w:r>
      <w:r>
        <w:rPr>
          <w:rFonts w:hint="eastAsia"/>
          <w:lang w:eastAsia="zh-TW"/>
        </w:rPr>
        <w:t>千元，增加的主要原因為本年度投資及籌資活動產生的現金流量淨額增加所致。</w:t>
      </w:r>
    </w:p>
    <w:p>
      <w:pPr>
        <w:rPr>
          <w:lang w:eastAsia="zh-TW"/>
        </w:rPr>
      </w:pPr>
      <w:r>
        <w:rPr>
          <w:lang w:eastAsia="zh-TW"/>
        </w:rPr>
        <w:t>2017</w:t>
      </w:r>
      <w:r>
        <w:rPr>
          <w:rFonts w:hint="eastAsia"/>
          <w:lang w:eastAsia="zh-TW"/>
        </w:rPr>
        <w:t>年本</w:t>
      </w:r>
      <w:r>
        <w:rPr>
          <w:rFonts w:hint="eastAsia" w:cs="宋体"/>
          <w:lang w:eastAsia="zh-TW"/>
        </w:rPr>
        <w:t>集團投資活動產生</w:t>
      </w:r>
      <w:r>
        <w:rPr>
          <w:rFonts w:hint="eastAsia"/>
          <w:lang w:eastAsia="zh-TW"/>
        </w:rPr>
        <w:t>的</w:t>
      </w:r>
      <w:r>
        <w:rPr>
          <w:rFonts w:hint="eastAsia" w:cs="宋体"/>
          <w:lang w:eastAsia="zh-TW"/>
        </w:rPr>
        <w:t>現金</w:t>
      </w:r>
      <w:r>
        <w:rPr>
          <w:rFonts w:hint="eastAsia"/>
          <w:lang w:eastAsia="zh-TW"/>
        </w:rPr>
        <w:t>流量</w:t>
      </w:r>
      <w:r>
        <w:rPr>
          <w:rFonts w:hint="eastAsia" w:cs="宋体"/>
          <w:lang w:eastAsia="zh-TW"/>
        </w:rPr>
        <w:t>淨額為人民幣</w:t>
      </w:r>
      <w:r>
        <w:rPr>
          <w:lang w:eastAsia="zh-TW"/>
        </w:rPr>
        <w:t>-168,537</w:t>
      </w:r>
      <w:r>
        <w:rPr>
          <w:rFonts w:hint="eastAsia"/>
          <w:lang w:eastAsia="zh-TW"/>
        </w:rPr>
        <w:t>千元，同比增加</w:t>
      </w:r>
      <w:r>
        <w:rPr>
          <w:rFonts w:hint="eastAsia" w:cs="宋体"/>
          <w:lang w:eastAsia="zh-TW"/>
        </w:rPr>
        <w:t>人民幣</w:t>
      </w:r>
      <w:r>
        <w:rPr>
          <w:lang w:eastAsia="zh-TW"/>
        </w:rPr>
        <w:t>74,757</w:t>
      </w:r>
      <w:r>
        <w:rPr>
          <w:rFonts w:hint="eastAsia"/>
          <w:lang w:eastAsia="zh-TW"/>
        </w:rPr>
        <w:t>千元，增加的主要原因是本年度取得土地</w:t>
      </w:r>
      <w:r>
        <w:rPr>
          <w:rFonts w:hint="eastAsia" w:cs="宋体"/>
          <w:lang w:eastAsia="zh-TW"/>
        </w:rPr>
        <w:t>收儲</w:t>
      </w:r>
      <w:r>
        <w:rPr>
          <w:rFonts w:hint="eastAsia"/>
          <w:lang w:eastAsia="zh-TW"/>
        </w:rPr>
        <w:t>收益所致。</w:t>
      </w:r>
    </w:p>
    <w:p>
      <w:pPr>
        <w:rPr>
          <w:lang w:eastAsia="zh-TW"/>
        </w:rPr>
      </w:pPr>
      <w:r>
        <w:rPr>
          <w:lang w:eastAsia="zh-TW"/>
        </w:rPr>
        <w:t>2017</w:t>
      </w:r>
      <w:r>
        <w:rPr>
          <w:rFonts w:hint="eastAsia"/>
          <w:lang w:eastAsia="zh-TW"/>
        </w:rPr>
        <w:t>年本</w:t>
      </w:r>
      <w:r>
        <w:rPr>
          <w:rFonts w:hint="eastAsia" w:cs="宋体"/>
          <w:lang w:eastAsia="zh-TW"/>
        </w:rPr>
        <w:t>集團籌資活動產生</w:t>
      </w:r>
      <w:r>
        <w:rPr>
          <w:rFonts w:hint="eastAsia"/>
          <w:lang w:eastAsia="zh-TW"/>
        </w:rPr>
        <w:t>的</w:t>
      </w:r>
      <w:r>
        <w:rPr>
          <w:rFonts w:hint="eastAsia" w:cs="宋体"/>
          <w:lang w:eastAsia="zh-TW"/>
        </w:rPr>
        <w:t>現金</w:t>
      </w:r>
      <w:r>
        <w:rPr>
          <w:rFonts w:hint="eastAsia"/>
          <w:lang w:eastAsia="zh-TW"/>
        </w:rPr>
        <w:t>流量</w:t>
      </w:r>
      <w:r>
        <w:rPr>
          <w:rFonts w:hint="eastAsia" w:cs="宋体"/>
          <w:lang w:eastAsia="zh-TW"/>
        </w:rPr>
        <w:t>淨額為人民幣</w:t>
      </w:r>
      <w:r>
        <w:rPr>
          <w:lang w:eastAsia="zh-TW"/>
        </w:rPr>
        <w:t>-25,232</w:t>
      </w:r>
      <w:r>
        <w:rPr>
          <w:rFonts w:hint="eastAsia"/>
          <w:lang w:eastAsia="zh-TW"/>
        </w:rPr>
        <w:t>千元，同比增加</w:t>
      </w:r>
      <w:r>
        <w:rPr>
          <w:rFonts w:hint="eastAsia" w:cs="宋体"/>
          <w:lang w:eastAsia="zh-TW"/>
        </w:rPr>
        <w:t>人民幣</w:t>
      </w:r>
      <w:r>
        <w:rPr>
          <w:lang w:eastAsia="zh-TW"/>
        </w:rPr>
        <w:t>49,793</w:t>
      </w:r>
      <w:r>
        <w:rPr>
          <w:rFonts w:hint="eastAsia"/>
          <w:lang w:eastAsia="zh-TW"/>
        </w:rPr>
        <w:t>千元，增加的主要原因是本年</w:t>
      </w:r>
      <w:r>
        <w:rPr>
          <w:rFonts w:hint="eastAsia" w:cs="宋体"/>
          <w:lang w:eastAsia="zh-TW"/>
        </w:rPr>
        <w:t>積極拓寬融資管道，優化融資結構</w:t>
      </w:r>
      <w:r>
        <w:rPr>
          <w:rFonts w:hint="eastAsia"/>
          <w:lang w:eastAsia="zh-TW"/>
        </w:rPr>
        <w:t>，降低</w:t>
      </w:r>
      <w:r>
        <w:rPr>
          <w:rFonts w:hint="eastAsia" w:cs="宋体"/>
          <w:lang w:eastAsia="zh-TW"/>
        </w:rPr>
        <w:t>貸款</w:t>
      </w:r>
      <w:r>
        <w:rPr>
          <w:rFonts w:hint="eastAsia"/>
          <w:lang w:eastAsia="zh-TW"/>
        </w:rPr>
        <w:t>利率及已經股東大會通過的</w:t>
      </w:r>
      <w:r>
        <w:rPr>
          <w:rFonts w:hint="eastAsia" w:cs="宋体"/>
          <w:lang w:eastAsia="zh-TW"/>
        </w:rPr>
        <w:t>特別</w:t>
      </w:r>
      <w:r>
        <w:rPr>
          <w:rFonts w:hint="eastAsia"/>
          <w:lang w:eastAsia="zh-TW"/>
        </w:rPr>
        <w:t>股息於報告期內尚未</w:t>
      </w:r>
      <w:r>
        <w:rPr>
          <w:rFonts w:hint="eastAsia" w:cs="宋体"/>
          <w:lang w:eastAsia="zh-TW"/>
        </w:rPr>
        <w:t>派發完畢</w:t>
      </w:r>
      <w:r>
        <w:rPr>
          <w:rFonts w:hint="eastAsia"/>
          <w:lang w:eastAsia="zh-TW"/>
        </w:rPr>
        <w:t>所致。</w:t>
      </w:r>
    </w:p>
    <w:p>
      <w:pPr>
        <w:rPr>
          <w:rFonts w:cs="宋体"/>
          <w:lang w:eastAsia="zh-TW"/>
        </w:rPr>
      </w:pPr>
      <w:r>
        <w:rPr>
          <w:lang w:val="zh-CN" w:eastAsia="zh-TW"/>
        </w:rPr>
        <w:t>2017</w:t>
      </w:r>
      <w:r>
        <w:rPr>
          <w:rFonts w:hint="eastAsia"/>
          <w:lang w:val="zh-CN" w:eastAsia="zh-TW"/>
        </w:rPr>
        <w:t>年本</w:t>
      </w:r>
      <w:r>
        <w:rPr>
          <w:rFonts w:hint="eastAsia" w:cs="宋体"/>
          <w:lang w:val="zh-CN" w:eastAsia="zh-TW"/>
        </w:rPr>
        <w:t>集團經營活動產生</w:t>
      </w:r>
      <w:r>
        <w:rPr>
          <w:rFonts w:hint="eastAsia"/>
          <w:lang w:val="zh-CN" w:eastAsia="zh-TW"/>
        </w:rPr>
        <w:t>的</w:t>
      </w:r>
      <w:r>
        <w:rPr>
          <w:rFonts w:hint="eastAsia" w:cs="宋体"/>
          <w:lang w:val="zh-CN" w:eastAsia="zh-TW"/>
        </w:rPr>
        <w:t>現金淨</w:t>
      </w:r>
      <w:r>
        <w:rPr>
          <w:rFonts w:hint="eastAsia"/>
          <w:lang w:val="zh-CN" w:eastAsia="zh-TW"/>
        </w:rPr>
        <w:t>流量</w:t>
      </w:r>
      <w:r>
        <w:rPr>
          <w:rFonts w:hint="eastAsia" w:cs="宋体"/>
          <w:lang w:val="zh-CN" w:eastAsia="zh-TW"/>
        </w:rPr>
        <w:t>為人民幣</w:t>
      </w:r>
      <w:r>
        <w:rPr>
          <w:lang w:val="zh-CN" w:eastAsia="zh-TW"/>
        </w:rPr>
        <w:t>389,972</w:t>
      </w:r>
      <w:r>
        <w:rPr>
          <w:rFonts w:cs="宋体"/>
          <w:lang w:val="zh-CN" w:eastAsia="zh-TW"/>
        </w:rPr>
        <w:t>,</w:t>
      </w:r>
      <w:r>
        <w:rPr>
          <w:rFonts w:hint="eastAsia" w:cs="宋体"/>
          <w:lang w:val="zh-CN" w:eastAsia="zh-TW"/>
        </w:rPr>
        <w:t>千</w:t>
      </w:r>
      <w:r>
        <w:rPr>
          <w:rFonts w:hint="eastAsia"/>
          <w:lang w:val="zh-CN" w:eastAsia="zh-TW"/>
        </w:rPr>
        <w:t>元</w:t>
      </w:r>
      <w:r>
        <w:rPr>
          <w:lang w:val="zh-CN" w:eastAsia="zh-TW"/>
        </w:rPr>
        <w:t>,</w:t>
      </w:r>
      <w:r>
        <w:rPr>
          <w:rFonts w:hint="eastAsia" w:cs="宋体"/>
          <w:lang w:val="zh-CN" w:eastAsia="zh-TW"/>
        </w:rPr>
        <w:t>與</w:t>
      </w:r>
      <w:r>
        <w:rPr>
          <w:rFonts w:hint="eastAsia"/>
          <w:lang w:val="zh-CN" w:eastAsia="zh-TW"/>
        </w:rPr>
        <w:t>本期</w:t>
      </w:r>
      <w:r>
        <w:rPr>
          <w:rFonts w:hint="eastAsia" w:cs="宋体"/>
          <w:lang w:val="zh-CN" w:eastAsia="zh-TW"/>
        </w:rPr>
        <w:t>淨利潤人民幣</w:t>
      </w:r>
      <w:r>
        <w:rPr>
          <w:lang w:val="zh-CN" w:eastAsia="zh-TW"/>
        </w:rPr>
        <w:t>221,249</w:t>
      </w:r>
      <w:r>
        <w:rPr>
          <w:rFonts w:hint="eastAsia"/>
          <w:lang w:val="zh-CN" w:eastAsia="zh-TW"/>
        </w:rPr>
        <w:t>千元存在</w:t>
      </w:r>
      <w:r>
        <w:rPr>
          <w:rFonts w:hint="eastAsia" w:cs="宋体"/>
          <w:lang w:val="zh-CN" w:eastAsia="zh-TW"/>
        </w:rPr>
        <w:t>較大差異</w:t>
      </w:r>
      <w:r>
        <w:rPr>
          <w:rFonts w:hint="eastAsia"/>
          <w:lang w:val="zh-CN" w:eastAsia="zh-TW"/>
        </w:rPr>
        <w:t>，主要原因</w:t>
      </w:r>
      <w:r>
        <w:rPr>
          <w:rFonts w:hint="eastAsia" w:cs="宋体"/>
          <w:lang w:val="zh-CN" w:eastAsia="zh-TW"/>
        </w:rPr>
        <w:t>為本期固定資產折舊費用</w:t>
      </w:r>
      <w:r>
        <w:rPr>
          <w:rFonts w:hint="eastAsia"/>
          <w:lang w:val="zh-CN" w:eastAsia="zh-TW"/>
        </w:rPr>
        <w:t>所致。</w:t>
      </w:r>
    </w:p>
    <w:p>
      <w:pPr>
        <w:spacing w:line="320" w:lineRule="exact"/>
        <w:rPr>
          <w:sz w:val="22"/>
          <w:lang w:eastAsia="zh-TW"/>
        </w:rPr>
      </w:pPr>
    </w:p>
    <w:p>
      <w:pPr>
        <w:pStyle w:val="24"/>
        <w:rPr>
          <w:rFonts w:ascii="Times New Roman" w:hAnsi="Times New Roman"/>
          <w:sz w:val="24"/>
          <w:lang w:eastAsia="zh-TW"/>
        </w:rPr>
      </w:pPr>
      <w:r>
        <w:rPr>
          <w:rFonts w:ascii="Times New Roman" w:hAnsi="Times New Roman"/>
          <w:b/>
          <w:sz w:val="24"/>
          <w:lang w:eastAsia="zh-TW"/>
        </w:rPr>
        <w:t>2017年按中國會計準則編制的主營業務收入分產品、分地區情況</w:t>
      </w:r>
      <w:r>
        <w:rPr>
          <w:rFonts w:ascii="Times New Roman" w:hAnsi="Times New Roman"/>
          <w:sz w:val="24"/>
          <w:lang w:eastAsia="zh-TW"/>
        </w:rPr>
        <w:t>(</w:t>
      </w:r>
      <w:r>
        <w:rPr>
          <w:rFonts w:hint="eastAsia" w:ascii="Times New Roman" w:hAnsi="Times New Roman"/>
          <w:sz w:val="24"/>
          <w:lang w:eastAsia="zh-TW"/>
        </w:rPr>
        <w:t>人民幣元</w:t>
      </w:r>
      <w:r>
        <w:rPr>
          <w:rFonts w:ascii="Times New Roman" w:hAnsi="Times New Roman"/>
          <w:sz w:val="24"/>
          <w:lang w:eastAsia="zh-TW"/>
        </w:rPr>
        <w:t>)</w:t>
      </w:r>
    </w:p>
    <w:tbl>
      <w:tblPr>
        <w:tblW w:w="99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740"/>
        <w:gridCol w:w="1780"/>
        <w:gridCol w:w="1780"/>
        <w:gridCol w:w="1160"/>
        <w:gridCol w:w="1160"/>
        <w:gridCol w:w="1160"/>
        <w:gridCol w:w="11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15" w:hRule="atLeast"/>
        </w:trPr>
        <w:tc>
          <w:tcPr>
            <w:tcW w:w="1740" w:type="dxa"/>
            <w:vAlign w:val="center"/>
          </w:tcPr>
          <w:p>
            <w:pPr>
              <w:widowControl/>
              <w:jc w:val="center"/>
              <w:rPr>
                <w:kern w:val="0"/>
                <w:sz w:val="24"/>
              </w:rPr>
            </w:pPr>
            <w:r>
              <w:rPr>
                <w:rFonts w:hint="eastAsia"/>
                <w:kern w:val="0"/>
                <w:sz w:val="24"/>
              </w:rPr>
              <w:t>項目</w:t>
            </w:r>
          </w:p>
        </w:tc>
        <w:tc>
          <w:tcPr>
            <w:tcW w:w="1780" w:type="dxa"/>
            <w:vAlign w:val="center"/>
          </w:tcPr>
          <w:p>
            <w:pPr>
              <w:widowControl/>
              <w:jc w:val="center"/>
              <w:rPr>
                <w:kern w:val="0"/>
                <w:sz w:val="22"/>
              </w:rPr>
            </w:pPr>
            <w:r>
              <w:rPr>
                <w:rFonts w:hint="eastAsia"/>
                <w:kern w:val="0"/>
                <w:sz w:val="22"/>
              </w:rPr>
              <w:t>營業收入</w:t>
            </w:r>
          </w:p>
        </w:tc>
        <w:tc>
          <w:tcPr>
            <w:tcW w:w="1780" w:type="dxa"/>
            <w:vAlign w:val="center"/>
          </w:tcPr>
          <w:p>
            <w:pPr>
              <w:widowControl/>
              <w:jc w:val="center"/>
              <w:rPr>
                <w:kern w:val="0"/>
                <w:sz w:val="22"/>
              </w:rPr>
            </w:pPr>
            <w:r>
              <w:rPr>
                <w:rFonts w:hint="eastAsia"/>
                <w:kern w:val="0"/>
                <w:sz w:val="22"/>
              </w:rPr>
              <w:t>營業成本</w:t>
            </w:r>
          </w:p>
        </w:tc>
        <w:tc>
          <w:tcPr>
            <w:tcW w:w="1160" w:type="dxa"/>
            <w:vAlign w:val="center"/>
          </w:tcPr>
          <w:p>
            <w:pPr>
              <w:widowControl/>
              <w:jc w:val="center"/>
              <w:rPr>
                <w:kern w:val="0"/>
                <w:sz w:val="22"/>
              </w:rPr>
            </w:pPr>
            <w:r>
              <w:rPr>
                <w:rFonts w:hint="eastAsia"/>
                <w:kern w:val="0"/>
                <w:sz w:val="22"/>
              </w:rPr>
              <w:t>毛利率</w:t>
            </w:r>
          </w:p>
        </w:tc>
        <w:tc>
          <w:tcPr>
            <w:tcW w:w="1160" w:type="dxa"/>
            <w:vAlign w:val="center"/>
          </w:tcPr>
          <w:p>
            <w:pPr>
              <w:widowControl/>
              <w:jc w:val="center"/>
              <w:rPr>
                <w:kern w:val="0"/>
                <w:sz w:val="22"/>
                <w:lang w:eastAsia="zh-TW"/>
              </w:rPr>
            </w:pPr>
            <w:r>
              <w:rPr>
                <w:rFonts w:hint="eastAsia"/>
                <w:kern w:val="0"/>
                <w:sz w:val="22"/>
                <w:lang w:eastAsia="zh-TW"/>
              </w:rPr>
              <w:t>營業收入比上年同期增減</w:t>
            </w:r>
          </w:p>
        </w:tc>
        <w:tc>
          <w:tcPr>
            <w:tcW w:w="1160" w:type="dxa"/>
            <w:vAlign w:val="center"/>
          </w:tcPr>
          <w:p>
            <w:pPr>
              <w:widowControl/>
              <w:jc w:val="center"/>
              <w:rPr>
                <w:kern w:val="0"/>
                <w:sz w:val="22"/>
                <w:lang w:eastAsia="zh-TW"/>
              </w:rPr>
            </w:pPr>
            <w:r>
              <w:rPr>
                <w:rFonts w:hint="eastAsia"/>
                <w:kern w:val="0"/>
                <w:sz w:val="22"/>
                <w:lang w:eastAsia="zh-TW"/>
              </w:rPr>
              <w:t>營業成本比上年同期增減</w:t>
            </w:r>
          </w:p>
        </w:tc>
        <w:tc>
          <w:tcPr>
            <w:tcW w:w="1198" w:type="dxa"/>
            <w:vAlign w:val="center"/>
          </w:tcPr>
          <w:p>
            <w:pPr>
              <w:widowControl/>
              <w:jc w:val="center"/>
              <w:rPr>
                <w:kern w:val="0"/>
                <w:sz w:val="22"/>
                <w:lang w:eastAsia="zh-TW"/>
              </w:rPr>
            </w:pPr>
            <w:r>
              <w:rPr>
                <w:rFonts w:hint="eastAsia"/>
                <w:kern w:val="0"/>
                <w:sz w:val="22"/>
                <w:lang w:eastAsia="zh-TW"/>
              </w:rPr>
              <w:t>毛利率比上年同期增減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9978" w:type="dxa"/>
            <w:gridSpan w:val="7"/>
            <w:vAlign w:val="center"/>
          </w:tcPr>
          <w:p>
            <w:pPr>
              <w:widowControl/>
              <w:jc w:val="left"/>
              <w:rPr>
                <w:kern w:val="0"/>
                <w:sz w:val="22"/>
              </w:rPr>
            </w:pPr>
            <w:r>
              <w:rPr>
                <w:rFonts w:hint="eastAsia"/>
                <w:kern w:val="0"/>
                <w:sz w:val="22"/>
              </w:rPr>
              <w:t>分產品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1740" w:type="dxa"/>
            <w:vAlign w:val="bottom"/>
          </w:tcPr>
          <w:p>
            <w:pPr>
              <w:widowControl/>
              <w:rPr>
                <w:kern w:val="0"/>
                <w:sz w:val="22"/>
              </w:rPr>
            </w:pPr>
            <w:r>
              <w:rPr>
                <w:rFonts w:hint="eastAsia"/>
                <w:kern w:val="0"/>
                <w:sz w:val="22"/>
              </w:rPr>
              <w:t>化學原料藥</w:t>
            </w:r>
          </w:p>
        </w:tc>
        <w:tc>
          <w:tcPr>
            <w:tcW w:w="1780" w:type="dxa"/>
            <w:vAlign w:val="center"/>
          </w:tcPr>
          <w:p>
            <w:pPr>
              <w:widowControl/>
              <w:jc w:val="right"/>
              <w:rPr>
                <w:sz w:val="18"/>
              </w:rPr>
            </w:pPr>
            <w:r>
              <w:rPr>
                <w:sz w:val="18"/>
              </w:rPr>
              <w:t xml:space="preserve"> 1,964,518,136.35 </w:t>
            </w:r>
          </w:p>
        </w:tc>
        <w:tc>
          <w:tcPr>
            <w:tcW w:w="1780" w:type="dxa"/>
            <w:vAlign w:val="center"/>
          </w:tcPr>
          <w:p>
            <w:pPr>
              <w:widowControl/>
              <w:jc w:val="right"/>
              <w:rPr>
                <w:sz w:val="18"/>
              </w:rPr>
            </w:pPr>
            <w:r>
              <w:rPr>
                <w:sz w:val="18"/>
              </w:rPr>
              <w:t xml:space="preserve"> 1,396,622,599.41 </w:t>
            </w:r>
          </w:p>
        </w:tc>
        <w:tc>
          <w:tcPr>
            <w:tcW w:w="1160" w:type="dxa"/>
            <w:vAlign w:val="center"/>
          </w:tcPr>
          <w:p>
            <w:pPr>
              <w:widowControl/>
              <w:jc w:val="right"/>
              <w:rPr>
                <w:sz w:val="18"/>
              </w:rPr>
            </w:pPr>
            <w:r>
              <w:rPr>
                <w:sz w:val="18"/>
              </w:rPr>
              <w:t>28.91%</w:t>
            </w:r>
          </w:p>
        </w:tc>
        <w:tc>
          <w:tcPr>
            <w:tcW w:w="1160" w:type="dxa"/>
            <w:vAlign w:val="center"/>
          </w:tcPr>
          <w:p>
            <w:pPr>
              <w:widowControl/>
              <w:jc w:val="right"/>
              <w:rPr>
                <w:sz w:val="18"/>
              </w:rPr>
            </w:pPr>
            <w:r>
              <w:rPr>
                <w:sz w:val="18"/>
              </w:rPr>
              <w:t>10.97%</w:t>
            </w:r>
          </w:p>
        </w:tc>
        <w:tc>
          <w:tcPr>
            <w:tcW w:w="1160" w:type="dxa"/>
            <w:vAlign w:val="center"/>
          </w:tcPr>
          <w:p>
            <w:pPr>
              <w:widowControl/>
              <w:jc w:val="right"/>
              <w:rPr>
                <w:sz w:val="18"/>
              </w:rPr>
            </w:pPr>
            <w:r>
              <w:rPr>
                <w:sz w:val="18"/>
              </w:rPr>
              <w:t>6.68%</w:t>
            </w:r>
          </w:p>
        </w:tc>
        <w:tc>
          <w:tcPr>
            <w:tcW w:w="1198" w:type="dxa"/>
            <w:vAlign w:val="center"/>
          </w:tcPr>
          <w:p>
            <w:pPr>
              <w:widowControl/>
              <w:jc w:val="right"/>
              <w:rPr>
                <w:kern w:val="0"/>
                <w:sz w:val="20"/>
              </w:rPr>
            </w:pPr>
            <w:r>
              <w:rPr>
                <w:rFonts w:hint="eastAsia"/>
                <w:sz w:val="18"/>
              </w:rPr>
              <w:t>上升</w:t>
            </w:r>
            <w:r>
              <w:rPr>
                <w:sz w:val="18"/>
              </w:rPr>
              <w:t>2.86個百分點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1740" w:type="dxa"/>
            <w:vAlign w:val="bottom"/>
          </w:tcPr>
          <w:p>
            <w:pPr>
              <w:widowControl/>
              <w:rPr>
                <w:kern w:val="0"/>
                <w:sz w:val="22"/>
              </w:rPr>
            </w:pPr>
            <w:r>
              <w:rPr>
                <w:rFonts w:hint="eastAsia"/>
                <w:kern w:val="0"/>
                <w:sz w:val="22"/>
              </w:rPr>
              <w:t>製劑</w:t>
            </w:r>
          </w:p>
        </w:tc>
        <w:tc>
          <w:tcPr>
            <w:tcW w:w="1780" w:type="dxa"/>
            <w:vAlign w:val="center"/>
          </w:tcPr>
          <w:p>
            <w:pPr>
              <w:widowControl/>
              <w:jc w:val="right"/>
              <w:rPr>
                <w:sz w:val="18"/>
              </w:rPr>
            </w:pPr>
            <w:r>
              <w:rPr>
                <w:sz w:val="18"/>
              </w:rPr>
              <w:t xml:space="preserve"> 1,982,189,474.18 </w:t>
            </w:r>
          </w:p>
        </w:tc>
        <w:tc>
          <w:tcPr>
            <w:tcW w:w="1780" w:type="dxa"/>
            <w:vAlign w:val="center"/>
          </w:tcPr>
          <w:p>
            <w:pPr>
              <w:widowControl/>
              <w:jc w:val="right"/>
              <w:rPr>
                <w:sz w:val="18"/>
              </w:rPr>
            </w:pPr>
            <w:r>
              <w:rPr>
                <w:sz w:val="18"/>
              </w:rPr>
              <w:t xml:space="preserve"> 1,381,807,519.70 </w:t>
            </w:r>
          </w:p>
        </w:tc>
        <w:tc>
          <w:tcPr>
            <w:tcW w:w="1160" w:type="dxa"/>
            <w:vAlign w:val="center"/>
          </w:tcPr>
          <w:p>
            <w:pPr>
              <w:widowControl/>
              <w:jc w:val="right"/>
              <w:rPr>
                <w:sz w:val="18"/>
              </w:rPr>
            </w:pPr>
            <w:r>
              <w:rPr>
                <w:sz w:val="18"/>
              </w:rPr>
              <w:t>30.29%</w:t>
            </w:r>
          </w:p>
        </w:tc>
        <w:tc>
          <w:tcPr>
            <w:tcW w:w="1160" w:type="dxa"/>
            <w:vAlign w:val="center"/>
          </w:tcPr>
          <w:p>
            <w:pPr>
              <w:widowControl/>
              <w:jc w:val="right"/>
              <w:rPr>
                <w:sz w:val="18"/>
              </w:rPr>
            </w:pPr>
            <w:r>
              <w:rPr>
                <w:sz w:val="18"/>
              </w:rPr>
              <w:t>13.42%</w:t>
            </w:r>
          </w:p>
        </w:tc>
        <w:tc>
          <w:tcPr>
            <w:tcW w:w="1160" w:type="dxa"/>
            <w:vAlign w:val="center"/>
          </w:tcPr>
          <w:p>
            <w:pPr>
              <w:widowControl/>
              <w:jc w:val="right"/>
              <w:rPr>
                <w:sz w:val="18"/>
              </w:rPr>
            </w:pPr>
            <w:r>
              <w:rPr>
                <w:sz w:val="18"/>
              </w:rPr>
              <w:t>7.88%</w:t>
            </w:r>
          </w:p>
        </w:tc>
        <w:tc>
          <w:tcPr>
            <w:tcW w:w="1198" w:type="dxa"/>
            <w:vAlign w:val="center"/>
          </w:tcPr>
          <w:p>
            <w:pPr>
              <w:widowControl/>
              <w:jc w:val="right"/>
              <w:rPr>
                <w:kern w:val="0"/>
                <w:sz w:val="20"/>
              </w:rPr>
            </w:pPr>
            <w:r>
              <w:rPr>
                <w:rFonts w:hint="eastAsia"/>
                <w:sz w:val="18"/>
              </w:rPr>
              <w:t>上升</w:t>
            </w:r>
            <w:r>
              <w:rPr>
                <w:sz w:val="18"/>
              </w:rPr>
              <w:t>3.61個百分點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1740" w:type="dxa"/>
            <w:vAlign w:val="bottom"/>
          </w:tcPr>
          <w:p>
            <w:pPr>
              <w:widowControl/>
              <w:rPr>
                <w:kern w:val="0"/>
                <w:sz w:val="22"/>
              </w:rPr>
            </w:pPr>
            <w:r>
              <w:rPr>
                <w:rFonts w:hint="eastAsia"/>
                <w:kern w:val="0"/>
                <w:sz w:val="22"/>
              </w:rPr>
              <w:t>醫藥中間體及其他</w:t>
            </w:r>
          </w:p>
        </w:tc>
        <w:tc>
          <w:tcPr>
            <w:tcW w:w="1780" w:type="dxa"/>
            <w:vAlign w:val="center"/>
          </w:tcPr>
          <w:p>
            <w:pPr>
              <w:widowControl/>
              <w:jc w:val="right"/>
              <w:rPr>
                <w:sz w:val="18"/>
              </w:rPr>
            </w:pPr>
            <w:r>
              <w:rPr>
                <w:sz w:val="18"/>
              </w:rPr>
              <w:t xml:space="preserve"> 569,009,173.66 </w:t>
            </w:r>
          </w:p>
        </w:tc>
        <w:tc>
          <w:tcPr>
            <w:tcW w:w="1780" w:type="dxa"/>
            <w:vAlign w:val="center"/>
          </w:tcPr>
          <w:p>
            <w:pPr>
              <w:widowControl/>
              <w:jc w:val="right"/>
              <w:rPr>
                <w:sz w:val="18"/>
              </w:rPr>
            </w:pPr>
            <w:r>
              <w:rPr>
                <w:sz w:val="18"/>
              </w:rPr>
              <w:t xml:space="preserve"> 469,185,719.75 </w:t>
            </w:r>
          </w:p>
        </w:tc>
        <w:tc>
          <w:tcPr>
            <w:tcW w:w="1160" w:type="dxa"/>
            <w:vAlign w:val="center"/>
          </w:tcPr>
          <w:p>
            <w:pPr>
              <w:widowControl/>
              <w:jc w:val="right"/>
              <w:rPr>
                <w:sz w:val="18"/>
              </w:rPr>
            </w:pPr>
            <w:r>
              <w:rPr>
                <w:sz w:val="18"/>
              </w:rPr>
              <w:t>17.54%</w:t>
            </w:r>
          </w:p>
        </w:tc>
        <w:tc>
          <w:tcPr>
            <w:tcW w:w="1160" w:type="dxa"/>
            <w:vAlign w:val="center"/>
          </w:tcPr>
          <w:p>
            <w:pPr>
              <w:widowControl/>
              <w:jc w:val="right"/>
              <w:rPr>
                <w:sz w:val="18"/>
              </w:rPr>
            </w:pPr>
            <w:r>
              <w:rPr>
                <w:sz w:val="18"/>
              </w:rPr>
              <w:t>14.48%</w:t>
            </w:r>
          </w:p>
        </w:tc>
        <w:tc>
          <w:tcPr>
            <w:tcW w:w="1160" w:type="dxa"/>
            <w:vAlign w:val="center"/>
          </w:tcPr>
          <w:p>
            <w:pPr>
              <w:widowControl/>
              <w:jc w:val="right"/>
              <w:rPr>
                <w:sz w:val="18"/>
              </w:rPr>
            </w:pPr>
            <w:r>
              <w:rPr>
                <w:sz w:val="18"/>
              </w:rPr>
              <w:t>10.78%</w:t>
            </w:r>
          </w:p>
        </w:tc>
        <w:tc>
          <w:tcPr>
            <w:tcW w:w="1198" w:type="dxa"/>
            <w:vAlign w:val="center"/>
          </w:tcPr>
          <w:p>
            <w:pPr>
              <w:widowControl/>
              <w:jc w:val="right"/>
              <w:rPr>
                <w:kern w:val="0"/>
                <w:sz w:val="20"/>
              </w:rPr>
            </w:pPr>
            <w:r>
              <w:rPr>
                <w:rFonts w:hint="eastAsia"/>
                <w:sz w:val="18"/>
              </w:rPr>
              <w:t>上升</w:t>
            </w:r>
            <w:r>
              <w:rPr>
                <w:sz w:val="18"/>
              </w:rPr>
              <w:t>2.57個百分點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1740" w:type="dxa"/>
            <w:vAlign w:val="bottom"/>
          </w:tcPr>
          <w:p>
            <w:pPr>
              <w:widowControl/>
              <w:jc w:val="center"/>
              <w:rPr>
                <w:kern w:val="0"/>
                <w:sz w:val="22"/>
              </w:rPr>
            </w:pPr>
            <w:r>
              <w:rPr>
                <w:rFonts w:hint="eastAsia"/>
                <w:kern w:val="0"/>
                <w:sz w:val="22"/>
              </w:rPr>
              <w:t>合計</w:t>
            </w:r>
          </w:p>
        </w:tc>
        <w:tc>
          <w:tcPr>
            <w:tcW w:w="1780" w:type="dxa"/>
            <w:vAlign w:val="center"/>
          </w:tcPr>
          <w:p>
            <w:pPr>
              <w:widowControl/>
              <w:jc w:val="right"/>
              <w:rPr>
                <w:sz w:val="18"/>
              </w:rPr>
            </w:pPr>
            <w:r>
              <w:rPr>
                <w:sz w:val="18"/>
              </w:rPr>
              <w:t>4,515,716,784.19</w:t>
            </w:r>
          </w:p>
        </w:tc>
        <w:tc>
          <w:tcPr>
            <w:tcW w:w="1780" w:type="dxa"/>
            <w:vAlign w:val="center"/>
          </w:tcPr>
          <w:p>
            <w:pPr>
              <w:widowControl/>
              <w:jc w:val="right"/>
              <w:rPr>
                <w:sz w:val="18"/>
              </w:rPr>
            </w:pPr>
            <w:r>
              <w:rPr>
                <w:sz w:val="18"/>
              </w:rPr>
              <w:t>3,247,615,838.86</w:t>
            </w:r>
          </w:p>
        </w:tc>
        <w:tc>
          <w:tcPr>
            <w:tcW w:w="1160" w:type="dxa"/>
            <w:vAlign w:val="center"/>
          </w:tcPr>
          <w:p>
            <w:pPr>
              <w:widowControl/>
              <w:jc w:val="right"/>
              <w:rPr>
                <w:sz w:val="18"/>
              </w:rPr>
            </w:pPr>
            <w:r>
              <w:rPr>
                <w:sz w:val="18"/>
              </w:rPr>
              <w:t>28.08%</w:t>
            </w:r>
          </w:p>
        </w:tc>
        <w:tc>
          <w:tcPr>
            <w:tcW w:w="1160" w:type="dxa"/>
            <w:vAlign w:val="center"/>
          </w:tcPr>
          <w:p>
            <w:pPr>
              <w:widowControl/>
              <w:jc w:val="right"/>
              <w:rPr>
                <w:sz w:val="18"/>
              </w:rPr>
            </w:pPr>
            <w:r>
              <w:rPr>
                <w:sz w:val="18"/>
              </w:rPr>
              <w:t>12.47%</w:t>
            </w:r>
          </w:p>
        </w:tc>
        <w:tc>
          <w:tcPr>
            <w:tcW w:w="1160" w:type="dxa"/>
            <w:vAlign w:val="center"/>
          </w:tcPr>
          <w:p>
            <w:pPr>
              <w:widowControl/>
              <w:jc w:val="right"/>
              <w:rPr>
                <w:sz w:val="18"/>
              </w:rPr>
            </w:pPr>
            <w:r>
              <w:rPr>
                <w:sz w:val="18"/>
              </w:rPr>
              <w:t>7.77%</w:t>
            </w:r>
          </w:p>
        </w:tc>
        <w:tc>
          <w:tcPr>
            <w:tcW w:w="1198" w:type="dxa"/>
            <w:vAlign w:val="center"/>
          </w:tcPr>
          <w:p>
            <w:pPr>
              <w:widowControl/>
              <w:jc w:val="right"/>
              <w:rPr>
                <w:kern w:val="0"/>
                <w:sz w:val="20"/>
              </w:rPr>
            </w:pPr>
            <w:r>
              <w:rPr>
                <w:rFonts w:hint="eastAsia"/>
                <w:sz w:val="18"/>
              </w:rPr>
              <w:t>上升</w:t>
            </w:r>
            <w:r>
              <w:rPr>
                <w:sz w:val="18"/>
              </w:rPr>
              <w:t>3.14個百分點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9978" w:type="dxa"/>
            <w:gridSpan w:val="7"/>
            <w:vAlign w:val="bottom"/>
          </w:tcPr>
          <w:p>
            <w:pPr>
              <w:widowControl/>
              <w:rPr>
                <w:rFonts w:cs="宋体"/>
                <w:kern w:val="0"/>
                <w:sz w:val="22"/>
                <w:szCs w:val="22"/>
                <w:lang w:eastAsia="zh-TW"/>
              </w:rPr>
            </w:pPr>
          </w:p>
          <w:p>
            <w:pPr>
              <w:widowControl/>
              <w:rPr>
                <w:kern w:val="0"/>
                <w:sz w:val="22"/>
              </w:rPr>
            </w:pPr>
            <w:r>
              <w:rPr>
                <w:rFonts w:hint="eastAsia"/>
                <w:kern w:val="0"/>
                <w:sz w:val="22"/>
              </w:rPr>
              <w:t>分地區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1740" w:type="dxa"/>
            <w:vAlign w:val="bottom"/>
          </w:tcPr>
          <w:p>
            <w:pPr>
              <w:widowControl/>
              <w:rPr>
                <w:kern w:val="0"/>
                <w:sz w:val="22"/>
              </w:rPr>
            </w:pPr>
            <w:r>
              <w:rPr>
                <w:rFonts w:hint="eastAsia"/>
                <w:kern w:val="0"/>
                <w:sz w:val="22"/>
              </w:rPr>
              <w:t>中國</w:t>
            </w:r>
            <w:r>
              <w:rPr>
                <w:kern w:val="0"/>
                <w:sz w:val="22"/>
              </w:rPr>
              <w:t>(</w:t>
            </w:r>
            <w:r>
              <w:rPr>
                <w:rFonts w:hint="eastAsia"/>
                <w:kern w:val="0"/>
                <w:sz w:val="22"/>
              </w:rPr>
              <w:t>含香港</w:t>
            </w:r>
            <w:r>
              <w:rPr>
                <w:kern w:val="0"/>
                <w:sz w:val="22"/>
              </w:rPr>
              <w:t>)</w:t>
            </w:r>
          </w:p>
        </w:tc>
        <w:tc>
          <w:tcPr>
            <w:tcW w:w="1780" w:type="dxa"/>
            <w:vAlign w:val="center"/>
          </w:tcPr>
          <w:p>
            <w:pPr>
              <w:widowControl/>
              <w:jc w:val="right"/>
              <w:rPr>
                <w:kern w:val="0"/>
                <w:sz w:val="20"/>
              </w:rPr>
            </w:pPr>
            <w:r>
              <w:rPr>
                <w:sz w:val="18"/>
              </w:rPr>
              <w:t>3,068,776,612.06</w:t>
            </w:r>
          </w:p>
        </w:tc>
        <w:tc>
          <w:tcPr>
            <w:tcW w:w="1780" w:type="dxa"/>
            <w:vAlign w:val="center"/>
          </w:tcPr>
          <w:p>
            <w:pPr>
              <w:widowControl/>
              <w:jc w:val="right"/>
              <w:rPr>
                <w:kern w:val="0"/>
                <w:sz w:val="20"/>
              </w:rPr>
            </w:pPr>
            <w:r>
              <w:rPr>
                <w:sz w:val="18"/>
              </w:rPr>
              <w:t>2,080,289,515.35</w:t>
            </w:r>
          </w:p>
        </w:tc>
        <w:tc>
          <w:tcPr>
            <w:tcW w:w="1160" w:type="dxa"/>
            <w:vAlign w:val="center"/>
          </w:tcPr>
          <w:p>
            <w:pPr>
              <w:widowControl/>
              <w:jc w:val="right"/>
              <w:rPr>
                <w:kern w:val="0"/>
                <w:sz w:val="20"/>
              </w:rPr>
            </w:pPr>
            <w:r>
              <w:rPr>
                <w:sz w:val="18"/>
              </w:rPr>
              <w:t>32.21%</w:t>
            </w:r>
          </w:p>
        </w:tc>
        <w:tc>
          <w:tcPr>
            <w:tcW w:w="1160" w:type="dxa"/>
            <w:vAlign w:val="center"/>
          </w:tcPr>
          <w:p>
            <w:pPr>
              <w:widowControl/>
              <w:jc w:val="right"/>
              <w:rPr>
                <w:kern w:val="0"/>
                <w:sz w:val="20"/>
              </w:rPr>
            </w:pPr>
            <w:r>
              <w:rPr>
                <w:sz w:val="18"/>
              </w:rPr>
              <w:t>18.09%</w:t>
            </w:r>
          </w:p>
        </w:tc>
        <w:tc>
          <w:tcPr>
            <w:tcW w:w="1160" w:type="dxa"/>
            <w:vAlign w:val="center"/>
          </w:tcPr>
          <w:p>
            <w:pPr>
              <w:widowControl/>
              <w:jc w:val="right"/>
              <w:rPr>
                <w:kern w:val="0"/>
                <w:sz w:val="20"/>
              </w:rPr>
            </w:pPr>
            <w:r>
              <w:rPr>
                <w:sz w:val="18"/>
              </w:rPr>
              <w:t>11.73%</w:t>
            </w:r>
          </w:p>
        </w:tc>
        <w:tc>
          <w:tcPr>
            <w:tcW w:w="1198" w:type="dxa"/>
            <w:vAlign w:val="center"/>
          </w:tcPr>
          <w:p>
            <w:pPr>
              <w:widowControl/>
              <w:jc w:val="right"/>
              <w:rPr>
                <w:kern w:val="0"/>
                <w:sz w:val="20"/>
              </w:rPr>
            </w:pPr>
            <w:r>
              <w:rPr>
                <w:rFonts w:hint="eastAsia"/>
                <w:sz w:val="18"/>
              </w:rPr>
              <w:t>上升</w:t>
            </w:r>
            <w:r>
              <w:rPr>
                <w:sz w:val="18"/>
              </w:rPr>
              <w:t>3.86</w:t>
            </w:r>
            <w:r>
              <w:rPr>
                <w:rFonts w:hint="eastAsia"/>
                <w:sz w:val="18"/>
              </w:rPr>
              <w:t>個百分點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1740" w:type="dxa"/>
            <w:vAlign w:val="bottom"/>
          </w:tcPr>
          <w:p>
            <w:pPr>
              <w:widowControl/>
              <w:rPr>
                <w:kern w:val="0"/>
                <w:sz w:val="22"/>
              </w:rPr>
            </w:pPr>
            <w:r>
              <w:rPr>
                <w:rFonts w:hint="eastAsia"/>
                <w:kern w:val="0"/>
                <w:sz w:val="22"/>
              </w:rPr>
              <w:t>美洲</w:t>
            </w:r>
          </w:p>
        </w:tc>
        <w:tc>
          <w:tcPr>
            <w:tcW w:w="1780" w:type="dxa"/>
            <w:vAlign w:val="center"/>
          </w:tcPr>
          <w:p>
            <w:pPr>
              <w:widowControl/>
              <w:jc w:val="right"/>
              <w:rPr>
                <w:kern w:val="0"/>
                <w:sz w:val="20"/>
              </w:rPr>
            </w:pPr>
            <w:r>
              <w:rPr>
                <w:sz w:val="18"/>
              </w:rPr>
              <w:t>674,938,080.40</w:t>
            </w:r>
          </w:p>
        </w:tc>
        <w:tc>
          <w:tcPr>
            <w:tcW w:w="1780" w:type="dxa"/>
            <w:vAlign w:val="center"/>
          </w:tcPr>
          <w:p>
            <w:pPr>
              <w:widowControl/>
              <w:jc w:val="right"/>
              <w:rPr>
                <w:kern w:val="0"/>
                <w:sz w:val="20"/>
              </w:rPr>
            </w:pPr>
            <w:r>
              <w:rPr>
                <w:sz w:val="18"/>
              </w:rPr>
              <w:t>552,705,707.00</w:t>
            </w:r>
          </w:p>
        </w:tc>
        <w:tc>
          <w:tcPr>
            <w:tcW w:w="1160" w:type="dxa"/>
            <w:vAlign w:val="center"/>
          </w:tcPr>
          <w:p>
            <w:pPr>
              <w:widowControl/>
              <w:jc w:val="right"/>
              <w:rPr>
                <w:kern w:val="0"/>
                <w:sz w:val="20"/>
              </w:rPr>
            </w:pPr>
            <w:r>
              <w:rPr>
                <w:sz w:val="18"/>
              </w:rPr>
              <w:t>18.11%</w:t>
            </w:r>
          </w:p>
        </w:tc>
        <w:tc>
          <w:tcPr>
            <w:tcW w:w="1160" w:type="dxa"/>
            <w:vAlign w:val="center"/>
          </w:tcPr>
          <w:p>
            <w:pPr>
              <w:widowControl/>
              <w:jc w:val="right"/>
              <w:rPr>
                <w:kern w:val="0"/>
                <w:sz w:val="20"/>
              </w:rPr>
            </w:pPr>
            <w:r>
              <w:rPr>
                <w:rFonts w:hint="eastAsia"/>
                <w:sz w:val="18"/>
              </w:rPr>
              <w:t>（</w:t>
            </w:r>
            <w:r>
              <w:rPr>
                <w:sz w:val="18"/>
              </w:rPr>
              <w:t>2.36%</w:t>
            </w:r>
            <w:r>
              <w:rPr>
                <w:rFonts w:hint="eastAsia"/>
                <w:sz w:val="18"/>
              </w:rPr>
              <w:t>）</w:t>
            </w:r>
          </w:p>
        </w:tc>
        <w:tc>
          <w:tcPr>
            <w:tcW w:w="1160" w:type="dxa"/>
            <w:vAlign w:val="center"/>
          </w:tcPr>
          <w:p>
            <w:pPr>
              <w:widowControl/>
              <w:jc w:val="right"/>
              <w:rPr>
                <w:kern w:val="0"/>
                <w:sz w:val="20"/>
              </w:rPr>
            </w:pPr>
            <w:r>
              <w:rPr>
                <w:rFonts w:hint="eastAsia"/>
                <w:sz w:val="18"/>
              </w:rPr>
              <w:t>（</w:t>
            </w:r>
            <w:r>
              <w:rPr>
                <w:sz w:val="18"/>
              </w:rPr>
              <w:t>2.27%</w:t>
            </w:r>
            <w:r>
              <w:rPr>
                <w:rFonts w:hint="eastAsia"/>
                <w:sz w:val="18"/>
              </w:rPr>
              <w:t>）</w:t>
            </w:r>
          </w:p>
        </w:tc>
        <w:tc>
          <w:tcPr>
            <w:tcW w:w="1198" w:type="dxa"/>
            <w:vAlign w:val="center"/>
          </w:tcPr>
          <w:p>
            <w:pPr>
              <w:widowControl/>
              <w:jc w:val="right"/>
              <w:rPr>
                <w:kern w:val="0"/>
                <w:sz w:val="20"/>
              </w:rPr>
            </w:pPr>
            <w:r>
              <w:rPr>
                <w:rFonts w:hint="eastAsia"/>
                <w:sz w:val="18"/>
              </w:rPr>
              <w:t>下降</w:t>
            </w:r>
            <w:r>
              <w:rPr>
                <w:sz w:val="18"/>
              </w:rPr>
              <w:t>0.07</w:t>
            </w:r>
            <w:r>
              <w:rPr>
                <w:rFonts w:hint="eastAsia"/>
                <w:sz w:val="18"/>
              </w:rPr>
              <w:t>個百分點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1740" w:type="dxa"/>
            <w:vAlign w:val="bottom"/>
          </w:tcPr>
          <w:p>
            <w:pPr>
              <w:widowControl/>
              <w:rPr>
                <w:kern w:val="0"/>
                <w:sz w:val="22"/>
              </w:rPr>
            </w:pPr>
            <w:r>
              <w:rPr>
                <w:rFonts w:hint="eastAsia"/>
                <w:kern w:val="0"/>
                <w:sz w:val="22"/>
              </w:rPr>
              <w:t>歐洲</w:t>
            </w:r>
          </w:p>
        </w:tc>
        <w:tc>
          <w:tcPr>
            <w:tcW w:w="1780" w:type="dxa"/>
            <w:vAlign w:val="center"/>
          </w:tcPr>
          <w:p>
            <w:pPr>
              <w:widowControl/>
              <w:jc w:val="right"/>
              <w:rPr>
                <w:kern w:val="0"/>
                <w:sz w:val="20"/>
              </w:rPr>
            </w:pPr>
            <w:r>
              <w:rPr>
                <w:sz w:val="18"/>
              </w:rPr>
              <w:t>331,427,351.78</w:t>
            </w:r>
          </w:p>
        </w:tc>
        <w:tc>
          <w:tcPr>
            <w:tcW w:w="1780" w:type="dxa"/>
            <w:vAlign w:val="center"/>
          </w:tcPr>
          <w:p>
            <w:pPr>
              <w:widowControl/>
              <w:jc w:val="right"/>
              <w:rPr>
                <w:kern w:val="0"/>
                <w:sz w:val="20"/>
              </w:rPr>
            </w:pPr>
            <w:r>
              <w:rPr>
                <w:sz w:val="18"/>
              </w:rPr>
              <w:t>266,937,196.65</w:t>
            </w:r>
          </w:p>
        </w:tc>
        <w:tc>
          <w:tcPr>
            <w:tcW w:w="1160" w:type="dxa"/>
            <w:vAlign w:val="center"/>
          </w:tcPr>
          <w:p>
            <w:pPr>
              <w:widowControl/>
              <w:jc w:val="right"/>
              <w:rPr>
                <w:kern w:val="0"/>
                <w:sz w:val="20"/>
              </w:rPr>
            </w:pPr>
            <w:r>
              <w:rPr>
                <w:sz w:val="18"/>
              </w:rPr>
              <w:t>19.46%</w:t>
            </w:r>
          </w:p>
        </w:tc>
        <w:tc>
          <w:tcPr>
            <w:tcW w:w="1160" w:type="dxa"/>
            <w:vAlign w:val="center"/>
          </w:tcPr>
          <w:p>
            <w:pPr>
              <w:widowControl/>
              <w:jc w:val="right"/>
              <w:rPr>
                <w:kern w:val="0"/>
                <w:sz w:val="20"/>
              </w:rPr>
            </w:pPr>
            <w:r>
              <w:rPr>
                <w:sz w:val="18"/>
              </w:rPr>
              <w:t>8.62%</w:t>
            </w:r>
          </w:p>
        </w:tc>
        <w:tc>
          <w:tcPr>
            <w:tcW w:w="1160" w:type="dxa"/>
            <w:vAlign w:val="center"/>
          </w:tcPr>
          <w:p>
            <w:pPr>
              <w:widowControl/>
              <w:jc w:val="right"/>
              <w:rPr>
                <w:kern w:val="0"/>
                <w:sz w:val="20"/>
              </w:rPr>
            </w:pPr>
            <w:r>
              <w:rPr>
                <w:sz w:val="18"/>
              </w:rPr>
              <w:t>7.03%</w:t>
            </w:r>
          </w:p>
        </w:tc>
        <w:tc>
          <w:tcPr>
            <w:tcW w:w="1198" w:type="dxa"/>
            <w:vAlign w:val="center"/>
          </w:tcPr>
          <w:p>
            <w:pPr>
              <w:widowControl/>
              <w:jc w:val="right"/>
              <w:rPr>
                <w:kern w:val="0"/>
                <w:sz w:val="20"/>
              </w:rPr>
            </w:pPr>
            <w:r>
              <w:rPr>
                <w:rFonts w:hint="eastAsia"/>
                <w:sz w:val="18"/>
              </w:rPr>
              <w:t>上升</w:t>
            </w:r>
            <w:r>
              <w:rPr>
                <w:sz w:val="18"/>
              </w:rPr>
              <w:t>1.20</w:t>
            </w:r>
            <w:r>
              <w:rPr>
                <w:rFonts w:hint="eastAsia"/>
                <w:sz w:val="18"/>
              </w:rPr>
              <w:t>個百分點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1740" w:type="dxa"/>
            <w:vAlign w:val="bottom"/>
          </w:tcPr>
          <w:p>
            <w:pPr>
              <w:widowControl/>
              <w:rPr>
                <w:kern w:val="0"/>
                <w:sz w:val="22"/>
              </w:rPr>
            </w:pPr>
            <w:r>
              <w:rPr>
                <w:rFonts w:hint="eastAsia"/>
                <w:kern w:val="0"/>
                <w:sz w:val="22"/>
              </w:rPr>
              <w:t>其他</w:t>
            </w:r>
          </w:p>
        </w:tc>
        <w:tc>
          <w:tcPr>
            <w:tcW w:w="1780" w:type="dxa"/>
            <w:vAlign w:val="center"/>
          </w:tcPr>
          <w:p>
            <w:pPr>
              <w:widowControl/>
              <w:jc w:val="right"/>
              <w:rPr>
                <w:kern w:val="0"/>
                <w:sz w:val="20"/>
              </w:rPr>
            </w:pPr>
            <w:r>
              <w:rPr>
                <w:sz w:val="18"/>
              </w:rPr>
              <w:t>440,574,739.95</w:t>
            </w:r>
          </w:p>
        </w:tc>
        <w:tc>
          <w:tcPr>
            <w:tcW w:w="1780" w:type="dxa"/>
            <w:vAlign w:val="center"/>
          </w:tcPr>
          <w:p>
            <w:pPr>
              <w:widowControl/>
              <w:jc w:val="right"/>
              <w:rPr>
                <w:kern w:val="0"/>
                <w:sz w:val="20"/>
              </w:rPr>
            </w:pPr>
            <w:r>
              <w:rPr>
                <w:sz w:val="18"/>
              </w:rPr>
              <w:t>347,683,419.85</w:t>
            </w:r>
          </w:p>
        </w:tc>
        <w:tc>
          <w:tcPr>
            <w:tcW w:w="1160" w:type="dxa"/>
            <w:vAlign w:val="center"/>
          </w:tcPr>
          <w:p>
            <w:pPr>
              <w:widowControl/>
              <w:jc w:val="right"/>
              <w:rPr>
                <w:kern w:val="0"/>
                <w:sz w:val="20"/>
              </w:rPr>
            </w:pPr>
            <w:r>
              <w:rPr>
                <w:sz w:val="18"/>
              </w:rPr>
              <w:t>21.08%</w:t>
            </w:r>
          </w:p>
        </w:tc>
        <w:tc>
          <w:tcPr>
            <w:tcW w:w="1160" w:type="dxa"/>
            <w:vAlign w:val="center"/>
          </w:tcPr>
          <w:p>
            <w:pPr>
              <w:widowControl/>
              <w:jc w:val="right"/>
              <w:rPr>
                <w:kern w:val="0"/>
                <w:sz w:val="20"/>
              </w:rPr>
            </w:pPr>
            <w:r>
              <w:rPr>
                <w:sz w:val="18"/>
              </w:rPr>
              <w:t>4.90%</w:t>
            </w:r>
          </w:p>
        </w:tc>
        <w:tc>
          <w:tcPr>
            <w:tcW w:w="1160" w:type="dxa"/>
            <w:vAlign w:val="center"/>
          </w:tcPr>
          <w:p>
            <w:pPr>
              <w:widowControl/>
              <w:jc w:val="right"/>
              <w:rPr>
                <w:kern w:val="0"/>
                <w:sz w:val="20"/>
              </w:rPr>
            </w:pPr>
            <w:r>
              <w:rPr>
                <w:sz w:val="18"/>
              </w:rPr>
              <w:t>3.23%</w:t>
            </w:r>
          </w:p>
        </w:tc>
        <w:tc>
          <w:tcPr>
            <w:tcW w:w="1198" w:type="dxa"/>
            <w:vAlign w:val="center"/>
          </w:tcPr>
          <w:p>
            <w:pPr>
              <w:widowControl/>
              <w:jc w:val="right"/>
              <w:rPr>
                <w:kern w:val="0"/>
                <w:sz w:val="20"/>
              </w:rPr>
            </w:pPr>
            <w:r>
              <w:rPr>
                <w:rFonts w:hint="eastAsia"/>
                <w:sz w:val="18"/>
              </w:rPr>
              <w:t>上升</w:t>
            </w:r>
            <w:r>
              <w:rPr>
                <w:sz w:val="18"/>
              </w:rPr>
              <w:t>1.27</w:t>
            </w:r>
            <w:r>
              <w:rPr>
                <w:rFonts w:hint="eastAsia"/>
                <w:sz w:val="18"/>
              </w:rPr>
              <w:t>個百分點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1740" w:type="dxa"/>
            <w:vAlign w:val="center"/>
          </w:tcPr>
          <w:p>
            <w:pPr>
              <w:widowControl/>
              <w:jc w:val="center"/>
              <w:rPr>
                <w:kern w:val="0"/>
                <w:sz w:val="22"/>
              </w:rPr>
            </w:pPr>
            <w:r>
              <w:rPr>
                <w:rFonts w:hint="eastAsia"/>
                <w:kern w:val="0"/>
                <w:sz w:val="22"/>
              </w:rPr>
              <w:t>合計</w:t>
            </w:r>
          </w:p>
        </w:tc>
        <w:tc>
          <w:tcPr>
            <w:tcW w:w="1780" w:type="dxa"/>
            <w:vAlign w:val="center"/>
          </w:tcPr>
          <w:p>
            <w:pPr>
              <w:widowControl/>
              <w:jc w:val="right"/>
              <w:rPr>
                <w:kern w:val="0"/>
                <w:sz w:val="20"/>
              </w:rPr>
            </w:pPr>
            <w:r>
              <w:rPr>
                <w:sz w:val="18"/>
              </w:rPr>
              <w:t>4,515,716,784.19</w:t>
            </w:r>
          </w:p>
        </w:tc>
        <w:tc>
          <w:tcPr>
            <w:tcW w:w="1780" w:type="dxa"/>
            <w:vAlign w:val="center"/>
          </w:tcPr>
          <w:p>
            <w:pPr>
              <w:widowControl/>
              <w:jc w:val="right"/>
              <w:rPr>
                <w:kern w:val="0"/>
                <w:sz w:val="20"/>
              </w:rPr>
            </w:pPr>
            <w:r>
              <w:rPr>
                <w:sz w:val="18"/>
              </w:rPr>
              <w:t>3,247,615,838.86</w:t>
            </w:r>
          </w:p>
        </w:tc>
        <w:tc>
          <w:tcPr>
            <w:tcW w:w="1160" w:type="dxa"/>
            <w:vAlign w:val="center"/>
          </w:tcPr>
          <w:p>
            <w:pPr>
              <w:widowControl/>
              <w:jc w:val="right"/>
              <w:rPr>
                <w:kern w:val="0"/>
                <w:sz w:val="20"/>
              </w:rPr>
            </w:pPr>
            <w:r>
              <w:rPr>
                <w:sz w:val="18"/>
              </w:rPr>
              <w:t>28.08%</w:t>
            </w:r>
          </w:p>
        </w:tc>
        <w:tc>
          <w:tcPr>
            <w:tcW w:w="1160" w:type="dxa"/>
            <w:vAlign w:val="center"/>
          </w:tcPr>
          <w:p>
            <w:pPr>
              <w:widowControl/>
              <w:jc w:val="right"/>
              <w:rPr>
                <w:kern w:val="0"/>
                <w:sz w:val="20"/>
              </w:rPr>
            </w:pPr>
            <w:r>
              <w:rPr>
                <w:sz w:val="18"/>
              </w:rPr>
              <w:t>12.47%</w:t>
            </w:r>
          </w:p>
        </w:tc>
        <w:tc>
          <w:tcPr>
            <w:tcW w:w="1160" w:type="dxa"/>
            <w:vAlign w:val="center"/>
          </w:tcPr>
          <w:p>
            <w:pPr>
              <w:widowControl/>
              <w:jc w:val="right"/>
              <w:rPr>
                <w:kern w:val="0"/>
                <w:sz w:val="20"/>
              </w:rPr>
            </w:pPr>
            <w:r>
              <w:rPr>
                <w:sz w:val="18"/>
              </w:rPr>
              <w:t>7.77%</w:t>
            </w:r>
          </w:p>
        </w:tc>
        <w:tc>
          <w:tcPr>
            <w:tcW w:w="1198" w:type="dxa"/>
            <w:vAlign w:val="center"/>
          </w:tcPr>
          <w:p>
            <w:pPr>
              <w:widowControl/>
              <w:jc w:val="right"/>
              <w:rPr>
                <w:kern w:val="0"/>
                <w:sz w:val="20"/>
              </w:rPr>
            </w:pPr>
            <w:r>
              <w:rPr>
                <w:rFonts w:hint="eastAsia"/>
                <w:sz w:val="18"/>
              </w:rPr>
              <w:t>上升</w:t>
            </w:r>
            <w:r>
              <w:rPr>
                <w:sz w:val="18"/>
              </w:rPr>
              <w:t>3.14</w:t>
            </w:r>
            <w:r>
              <w:rPr>
                <w:rFonts w:hint="eastAsia"/>
                <w:sz w:val="18"/>
              </w:rPr>
              <w:t>個百分點</w:t>
            </w:r>
          </w:p>
        </w:tc>
      </w:tr>
    </w:tbl>
    <w:p>
      <w:pPr>
        <w:pStyle w:val="24"/>
        <w:rPr>
          <w:rFonts w:ascii="Times New Roman" w:hAnsi="Times New Roman"/>
          <w:b/>
          <w:sz w:val="24"/>
        </w:rPr>
      </w:pPr>
    </w:p>
    <w:p>
      <w:pPr>
        <w:pStyle w:val="24"/>
        <w:rPr>
          <w:rFonts w:ascii="Times New Roman" w:hAnsi="Times New Roman"/>
          <w:b/>
          <w:iCs/>
          <w:sz w:val="24"/>
          <w:szCs w:val="24"/>
        </w:rPr>
      </w:pPr>
    </w:p>
    <w:p>
      <w:pPr>
        <w:pStyle w:val="24"/>
        <w:rPr>
          <w:rFonts w:ascii="Times New Roman" w:hAnsi="Times New Roman"/>
          <w:b/>
          <w:sz w:val="24"/>
          <w:lang w:eastAsia="zh-TW"/>
        </w:rPr>
      </w:pPr>
      <w:r>
        <w:rPr>
          <w:rFonts w:hint="eastAsia" w:ascii="Times New Roman" w:hAnsi="Times New Roman"/>
          <w:b/>
          <w:sz w:val="24"/>
          <w:lang w:eastAsia="zh-TW"/>
        </w:rPr>
        <w:t>資金流動性及財政資源、資本結構分析</w:t>
      </w:r>
    </w:p>
    <w:p>
      <w:pPr>
        <w:rPr>
          <w:lang w:eastAsia="zh-TW"/>
        </w:rPr>
      </w:pPr>
      <w:r>
        <w:rPr>
          <w:rFonts w:hint="eastAsia"/>
          <w:lang w:eastAsia="zh-TW"/>
        </w:rPr>
        <w:t>於</w:t>
      </w:r>
      <w:r>
        <w:rPr>
          <w:lang w:eastAsia="zh-TW"/>
        </w:rPr>
        <w:t>2017年12月31日，本集團流動比率為134.82%，</w:t>
      </w:r>
      <w:r>
        <w:rPr>
          <w:rFonts w:hint="eastAsia"/>
          <w:lang w:eastAsia="zh-TW"/>
        </w:rPr>
        <w:t>速動比率為</w:t>
      </w:r>
      <w:r>
        <w:rPr>
          <w:lang w:eastAsia="zh-TW"/>
        </w:rPr>
        <w:t>82.83%，應收賬款周轉率為1,376.72%（應收賬款周轉率=營業收入/平均應收賬款淨額*100%），存貨周轉率為510.35%（存貨周轉率=營業成本/平均存貨淨額*100%）。</w:t>
      </w:r>
    </w:p>
    <w:p>
      <w:pPr>
        <w:rPr>
          <w:lang w:eastAsia="zh-TW"/>
        </w:rPr>
      </w:pPr>
      <w:r>
        <w:rPr>
          <w:rFonts w:hint="eastAsia"/>
          <w:lang w:eastAsia="zh-TW"/>
        </w:rPr>
        <w:t>本集團資金需求無明顯季節性規律。</w:t>
      </w:r>
    </w:p>
    <w:p>
      <w:pPr>
        <w:rPr>
          <w:lang w:eastAsia="zh-TW"/>
        </w:rPr>
      </w:pPr>
      <w:r>
        <w:rPr>
          <w:rFonts w:hint="eastAsia"/>
          <w:lang w:eastAsia="zh-TW"/>
        </w:rPr>
        <w:t>本集團資金來源主要是借款及經營產生盈利。於</w:t>
      </w:r>
      <w:r>
        <w:rPr>
          <w:lang w:eastAsia="zh-TW"/>
        </w:rPr>
        <w:t>2017年12月31日，本集團借款總額為人民幣1,220,501千元。於2017年12月31日本集團共有貨幣資金人民幣731,126千元(包括約人民幣48,264千元銀行承兌匯票保證金存款)。本集團銀行信用狀況良好，有足夠的銀行授信額度可用。</w:t>
      </w:r>
    </w:p>
    <w:p>
      <w:pPr>
        <w:rPr>
          <w:lang w:eastAsia="zh-TW"/>
        </w:rPr>
      </w:pPr>
      <w:r>
        <w:rPr>
          <w:rFonts w:hint="eastAsia"/>
          <w:lang w:eastAsia="zh-TW"/>
        </w:rPr>
        <w:t>於</w:t>
      </w:r>
      <w:r>
        <w:rPr>
          <w:lang w:eastAsia="zh-TW"/>
        </w:rPr>
        <w:t>2017年12月31日，本公司及子公司山東</w:t>
      </w:r>
      <w:r>
        <w:rPr>
          <w:rFonts w:hint="eastAsia"/>
          <w:lang w:eastAsia="zh-TW"/>
        </w:rPr>
        <w:t>淄博新達制藥有限公司分別將貨幣資金人民幣</w:t>
      </w:r>
      <w:r>
        <w:rPr>
          <w:lang w:eastAsia="zh-TW"/>
        </w:rPr>
        <w:t>33,894千元及人民幣14,370千元質押於銀行以辦理銀行承兌匯票，子公司山東新華醫藥貿易有限公司</w:t>
      </w:r>
      <w:r>
        <w:rPr>
          <w:rFonts w:hint="eastAsia"/>
          <w:lang w:eastAsia="zh-TW"/>
        </w:rPr>
        <w:t>質押應收賬款</w:t>
      </w:r>
      <w:r>
        <w:rPr>
          <w:lang w:eastAsia="zh-TW"/>
        </w:rPr>
        <w:t>1,828千元用於辦理</w:t>
      </w:r>
      <w:r>
        <w:rPr>
          <w:rFonts w:hint="eastAsia"/>
          <w:lang w:eastAsia="zh-TW"/>
        </w:rPr>
        <w:t>應收賬款保理業務，本公司固定資產人民幣</w:t>
      </w:r>
      <w:r>
        <w:rPr>
          <w:lang w:eastAsia="zh-TW"/>
        </w:rPr>
        <w:t>152,895千元</w:t>
      </w:r>
      <w:r>
        <w:rPr>
          <w:rFonts w:hint="eastAsia"/>
          <w:lang w:val="zh-CN" w:eastAsia="zh-TW"/>
        </w:rPr>
        <w:t>用於抵押借款</w:t>
      </w:r>
      <w:r>
        <w:rPr>
          <w:rFonts w:hint="eastAsia"/>
          <w:lang w:eastAsia="zh-TW"/>
        </w:rPr>
        <w:t>。除此之外，本集團無其他抵押資產。</w:t>
      </w:r>
    </w:p>
    <w:p>
      <w:pPr>
        <w:rPr>
          <w:lang w:eastAsia="zh-TW"/>
        </w:rPr>
      </w:pPr>
      <w:r>
        <w:rPr>
          <w:rFonts w:hint="eastAsia"/>
          <w:lang w:eastAsia="zh-TW"/>
        </w:rPr>
        <w:t>於本報告期內，本公司與淄博市城建重點工程建設指揮部簽訂《國有土地徵收協議》，處置了位於山東省淄博市張店區東一路</w:t>
      </w:r>
      <w:r>
        <w:rPr>
          <w:lang w:eastAsia="zh-TW"/>
        </w:rPr>
        <w:t>14號的一宗土地。通過此次土地徵收，本公司取得補償款人民幣37,110千元。</w:t>
      </w:r>
    </w:p>
    <w:p>
      <w:pPr>
        <w:rPr>
          <w:lang w:eastAsia="zh-TW"/>
        </w:rPr>
      </w:pPr>
      <w:r>
        <w:rPr>
          <w:rFonts w:hint="eastAsia"/>
          <w:lang w:eastAsia="zh-TW"/>
        </w:rPr>
        <w:t>除上述交易外，本集團於本報告期內無任何重大投資、收購或資產處置。</w:t>
      </w:r>
    </w:p>
    <w:p>
      <w:pPr>
        <w:rPr>
          <w:lang w:eastAsia="zh-TW"/>
        </w:rPr>
      </w:pPr>
      <w:r>
        <w:rPr>
          <w:lang w:eastAsia="zh-TW"/>
        </w:rPr>
        <w:t xml:space="preserve">        </w:t>
      </w:r>
    </w:p>
    <w:p>
      <w:pPr>
        <w:rPr>
          <w:lang w:eastAsia="zh-TW"/>
        </w:rPr>
      </w:pPr>
      <w:r>
        <w:rPr>
          <w:rFonts w:hint="eastAsia"/>
          <w:lang w:eastAsia="zh-TW"/>
        </w:rPr>
        <w:t>本集團業績的分類情況參見</w:t>
      </w:r>
      <w:r>
        <w:rPr>
          <w:rFonts w:hint="eastAsia" w:cs="宋体"/>
          <w:lang w:eastAsia="zh-TW"/>
        </w:rPr>
        <w:t>本</w:t>
      </w:r>
      <w:r>
        <w:rPr>
          <w:rFonts w:hint="eastAsia"/>
          <w:sz w:val="22"/>
          <w:szCs w:val="22"/>
          <w:lang w:eastAsia="zh-TW"/>
        </w:rPr>
        <w:t>節</w:t>
      </w:r>
      <w:r>
        <w:rPr>
          <w:rFonts w:hint="eastAsia"/>
          <w:lang w:eastAsia="zh-TW"/>
        </w:rPr>
        <w:t>之</w:t>
      </w:r>
      <w:r>
        <w:rPr>
          <w:rFonts w:hint="eastAsia"/>
          <w:sz w:val="22"/>
          <w:szCs w:val="22"/>
          <w:lang w:eastAsia="zh-TW"/>
        </w:rPr>
        <w:t>「</w:t>
      </w:r>
      <w:r>
        <w:rPr>
          <w:rFonts w:hint="eastAsia"/>
          <w:lang w:eastAsia="zh-TW"/>
        </w:rPr>
        <w:t>“按</w:t>
      </w:r>
      <w:r>
        <w:rPr>
          <w:rFonts w:hint="eastAsia" w:cs="宋体"/>
          <w:lang w:eastAsia="zh-TW"/>
        </w:rPr>
        <w:t>《</w:t>
      </w:r>
      <w:r>
        <w:rPr>
          <w:rFonts w:hint="eastAsia"/>
          <w:lang w:eastAsia="zh-TW"/>
        </w:rPr>
        <w:t>中國</w:t>
      </w:r>
      <w:r>
        <w:rPr>
          <w:rFonts w:hint="eastAsia" w:cs="宋体"/>
          <w:lang w:eastAsia="zh-TW"/>
        </w:rPr>
        <w:t>企業會計準則》披露</w:t>
      </w:r>
      <w:r>
        <w:rPr>
          <w:rFonts w:hint="eastAsia"/>
          <w:lang w:eastAsia="zh-TW"/>
        </w:rPr>
        <w:t>的經營狀況</w:t>
      </w:r>
      <w:r>
        <w:rPr>
          <w:rFonts w:hint="eastAsia" w:cs="宋体"/>
          <w:lang w:eastAsia="zh-TW"/>
        </w:rPr>
        <w:t>及</w:t>
      </w:r>
      <w:r>
        <w:rPr>
          <w:rFonts w:hint="eastAsia"/>
          <w:lang w:eastAsia="zh-TW"/>
        </w:rPr>
        <w:t>財務狀況分析</w:t>
      </w:r>
      <w:r>
        <w:rPr>
          <w:rFonts w:hint="eastAsia"/>
          <w:sz w:val="22"/>
          <w:szCs w:val="22"/>
          <w:lang w:eastAsia="zh-TW"/>
        </w:rPr>
        <w:t>」</w:t>
      </w:r>
      <w:r>
        <w:rPr>
          <w:rFonts w:hint="eastAsia"/>
          <w:lang w:eastAsia="zh-TW"/>
        </w:rPr>
        <w:t>”。</w:t>
      </w:r>
    </w:p>
    <w:p>
      <w:pPr>
        <w:rPr>
          <w:lang w:eastAsia="zh-TW"/>
        </w:rPr>
      </w:pPr>
      <w:r>
        <w:rPr>
          <w:rFonts w:hint="eastAsia"/>
          <w:lang w:eastAsia="zh-TW"/>
        </w:rPr>
        <w:t>截至</w:t>
      </w:r>
      <w:r>
        <w:rPr>
          <w:lang w:eastAsia="zh-TW"/>
        </w:rPr>
        <w:t>2017年12月31日，本集團員工人數為6,384人，2017年全年員工工資總額為人民幣435,814千元。</w:t>
      </w:r>
    </w:p>
    <w:p>
      <w:pPr>
        <w:rPr>
          <w:lang w:eastAsia="zh-TW"/>
        </w:rPr>
      </w:pPr>
      <w:r>
        <w:rPr>
          <w:rFonts w:hint="eastAsia"/>
          <w:lang w:eastAsia="zh-TW"/>
        </w:rPr>
        <w:t>本集團的資產負債率為</w:t>
      </w:r>
      <w:r>
        <w:rPr>
          <w:lang w:eastAsia="zh-TW"/>
        </w:rPr>
        <w:t>51.09%。（資產負債率=負債總額/資產總額*100%）</w:t>
      </w:r>
    </w:p>
    <w:p>
      <w:pPr>
        <w:rPr>
          <w:lang w:eastAsia="zh-TW"/>
        </w:rPr>
      </w:pPr>
      <w:r>
        <w:rPr>
          <w:rFonts w:hint="eastAsia" w:cs="宋体"/>
          <w:lang w:eastAsia="zh-TW"/>
        </w:rPr>
        <w:t>本公司</w:t>
      </w:r>
      <w:r>
        <w:rPr>
          <w:rFonts w:hint="eastAsia"/>
          <w:lang w:eastAsia="zh-TW"/>
        </w:rPr>
        <w:t>現有的銀行存款主要目的是為項目建設及生產經營作資金準備。</w:t>
      </w:r>
    </w:p>
    <w:p>
      <w:pPr>
        <w:rPr>
          <w:lang w:eastAsia="zh-TW"/>
        </w:rPr>
      </w:pPr>
      <w:r>
        <w:rPr>
          <w:rFonts w:hint="eastAsia"/>
          <w:lang w:eastAsia="zh-TW"/>
        </w:rPr>
        <w:t>本集團之資產及負債主要以人民幣為記賬本位幣，</w:t>
      </w:r>
      <w:r>
        <w:rPr>
          <w:lang w:eastAsia="zh-TW"/>
        </w:rPr>
        <w:t xml:space="preserve"> 2017年度出口創匯完成207,846千美元，亦存在一定的匯率波動風險。本集團在降低匯率波動風險方面主要採取了以下措施：1.提高產品出口價格以降低匯率波動風險；2.在簽訂大額出口合同時就事先約定，在超出雙方約定範圍的匯率波動限度時，匯率波動風險由雙方承擔。</w:t>
      </w:r>
    </w:p>
    <w:p>
      <w:pPr>
        <w:ind w:firstLine="420" w:firstLineChars="200"/>
        <w:rPr>
          <w:lang w:eastAsia="zh-TW"/>
        </w:rPr>
      </w:pPr>
      <w:r>
        <w:rPr>
          <w:lang w:eastAsia="zh-TW"/>
        </w:rPr>
        <w:tab/>
      </w:r>
    </w:p>
    <w:p>
      <w:pPr>
        <w:pStyle w:val="24"/>
        <w:rPr>
          <w:rFonts w:ascii="Times New Roman" w:hAnsi="Times New Roman"/>
          <w:b/>
          <w:sz w:val="24"/>
          <w:lang w:eastAsia="zh-TW"/>
        </w:rPr>
      </w:pPr>
      <w:r>
        <w:rPr>
          <w:rFonts w:hint="eastAsia" w:ascii="Times New Roman" w:hAnsi="Times New Roman"/>
          <w:b/>
          <w:lang w:eastAsia="zh-TW"/>
        </w:rPr>
        <w:t>七、</w:t>
      </w:r>
      <w:r>
        <w:rPr>
          <w:rFonts w:hint="eastAsia" w:ascii="Times New Roman" w:hAnsi="Times New Roman"/>
          <w:b/>
          <w:sz w:val="24"/>
          <w:lang w:eastAsia="zh-TW"/>
        </w:rPr>
        <w:t>業務回顧</w:t>
      </w:r>
    </w:p>
    <w:p>
      <w:pPr>
        <w:rPr>
          <w:lang w:eastAsia="zh-TW"/>
        </w:rPr>
      </w:pPr>
      <w:r>
        <w:rPr>
          <w:lang w:eastAsia="zh-TW"/>
        </w:rPr>
        <w:t>2017年本集團克服市場形勢多變、安全環保壓力持續加大、各項成本不斷上升等諸多因素影響，搶抓機遇，科學組織，</w:t>
      </w:r>
      <w:r>
        <w:rPr>
          <w:rFonts w:hint="eastAsia"/>
          <w:lang w:eastAsia="zh-TW"/>
        </w:rPr>
        <w:t>穩態生產，生產經營指標再創歷史新高。</w:t>
      </w:r>
    </w:p>
    <w:p>
      <w:pPr>
        <w:rPr>
          <w:u w:val="single"/>
          <w:lang w:eastAsia="zh-TW"/>
        </w:rPr>
      </w:pPr>
      <w:r>
        <w:rPr>
          <w:u w:val="single"/>
          <w:lang w:eastAsia="zh-TW"/>
        </w:rPr>
        <w:t>1.各業務板塊齊發力，經營</w:t>
      </w:r>
      <w:r>
        <w:rPr>
          <w:rFonts w:hint="eastAsia"/>
          <w:u w:val="single"/>
          <w:lang w:eastAsia="zh-TW"/>
        </w:rPr>
        <w:t>質量穩步提高</w:t>
      </w:r>
    </w:p>
    <w:p>
      <w:pPr>
        <w:rPr>
          <w:lang w:eastAsia="zh-TW"/>
        </w:rPr>
      </w:pPr>
      <w:r>
        <w:rPr>
          <w:rFonts w:hint="eastAsia"/>
          <w:lang w:eastAsia="zh-TW"/>
        </w:rPr>
        <w:t>充分發揮主導原料藥綜合優勢，狠抓市場開拓，原料藥全年實現銷售收入人民幣</w:t>
      </w:r>
      <w:r>
        <w:rPr>
          <w:lang w:eastAsia="zh-TW"/>
        </w:rPr>
        <w:t>19.6億元，同比增長10.97%，布洛芬、左</w:t>
      </w:r>
      <w:r>
        <w:rPr>
          <w:rFonts w:hint="eastAsia"/>
          <w:lang w:eastAsia="zh-TW"/>
        </w:rPr>
        <w:t>旋多巴等主導原料藥銷售收入取得可喜增長；格列美脲、美洛昔康等新特原料藥銷售規模實現較大幅度增長。</w:t>
      </w:r>
    </w:p>
    <w:p>
      <w:pPr>
        <w:rPr>
          <w:lang w:eastAsia="zh-TW"/>
        </w:rPr>
      </w:pPr>
      <w:r>
        <w:rPr>
          <w:rFonts w:hint="eastAsia"/>
          <w:lang w:eastAsia="zh-TW"/>
        </w:rPr>
        <w:t>繼續推進大製劑發展戰略，製劑全年實現銷售收入人民幣</w:t>
      </w:r>
      <w:r>
        <w:rPr>
          <w:lang w:eastAsia="zh-TW"/>
        </w:rPr>
        <w:t>19.8億元，同比增長13.42%。</w:t>
      </w:r>
      <w:r>
        <w:rPr>
          <w:rFonts w:hint="eastAsia"/>
          <w:lang w:eastAsia="zh-TW"/>
        </w:rPr>
        <w:t>介寧、保暢成功入選國家新版醫保目錄。舒泰得等</w:t>
      </w:r>
      <w:r>
        <w:rPr>
          <w:lang w:eastAsia="zh-TW"/>
        </w:rPr>
        <w:t>6大戰略品種實現銷售額人民幣1.99億元，同比增長33.91%。整合B2B、B2C資源成立電子商務部，電商業務全年實現銷售收入人民幣2,748萬元，同比增長266.01%。</w:t>
      </w:r>
    </w:p>
    <w:p>
      <w:pPr>
        <w:rPr>
          <w:lang w:eastAsia="zh-TW"/>
        </w:rPr>
      </w:pPr>
      <w:r>
        <w:rPr>
          <w:lang w:eastAsia="zh-TW"/>
        </w:rPr>
        <w:t>2017年度本集團實現出口創匯2.08億美元，同比增長4.7%。國際加工產品供貨人民幣11,364萬元，同比增長102.4%。重點國際合作項目取得階段性進展，合資公司</w:t>
      </w:r>
      <w:r>
        <w:rPr>
          <w:rFonts w:hint="eastAsia"/>
          <w:lang w:eastAsia="zh-TW"/>
        </w:rPr>
        <w:t>新華百利高於</w:t>
      </w:r>
      <w:r>
        <w:rPr>
          <w:lang w:eastAsia="zh-TW"/>
        </w:rPr>
        <w:t>2018年初實現增資並將新增50億片固體製劑生產規模。</w:t>
      </w:r>
    </w:p>
    <w:p>
      <w:pPr>
        <w:rPr>
          <w:u w:val="single"/>
          <w:lang w:eastAsia="zh-TW"/>
        </w:rPr>
      </w:pPr>
      <w:r>
        <w:rPr>
          <w:u w:val="single"/>
          <w:lang w:eastAsia="zh-TW"/>
        </w:rPr>
        <w:t>2.加大研發投入，科技創新取得新成果</w:t>
      </w:r>
    </w:p>
    <w:p>
      <w:pPr>
        <w:rPr>
          <w:rFonts w:cs="宋体"/>
          <w:lang w:eastAsia="zh-TW"/>
        </w:rPr>
      </w:pPr>
      <w:r>
        <w:rPr>
          <w:rFonts w:hint="eastAsia"/>
          <w:lang w:eastAsia="zh-TW"/>
        </w:rPr>
        <w:t>全年研發投入人民幣</w:t>
      </w:r>
      <w:r>
        <w:rPr>
          <w:lang w:eastAsia="zh-TW"/>
        </w:rPr>
        <w:t>1.6億元，同比增長47.85%。</w:t>
      </w:r>
      <w:r>
        <w:rPr>
          <w:rFonts w:hint="eastAsia"/>
          <w:lang w:eastAsia="zh-TW"/>
        </w:rPr>
        <w:t>格列美脲片、卡托普利片等</w:t>
      </w:r>
      <w:r>
        <w:rPr>
          <w:lang w:eastAsia="zh-TW"/>
        </w:rPr>
        <w:t>4個產品5個文號順利通過BE。獲得</w:t>
      </w:r>
      <w:r>
        <w:rPr>
          <w:rFonts w:hint="eastAsia"/>
          <w:lang w:eastAsia="zh-TW"/>
        </w:rPr>
        <w:t>左旋多巴、維生素</w:t>
      </w:r>
      <w:r>
        <w:rPr>
          <w:lang w:eastAsia="zh-TW"/>
        </w:rPr>
        <w:t>E軟膠囊等兩個產品生產批件，</w:t>
      </w:r>
      <w:r>
        <w:rPr>
          <w:rFonts w:hint="eastAsia"/>
          <w:lang w:eastAsia="zh-TW"/>
        </w:rPr>
        <w:t>非布司他完成臨床即將報產。與瀋陽藥科大學共同啟動了抗老年癡呆重大新藥的合作研發。本公司及</w:t>
      </w:r>
      <w:r>
        <w:rPr>
          <w:rFonts w:hint="eastAsia" w:cs="宋体"/>
          <w:lang w:eastAsia="zh-TW"/>
        </w:rPr>
        <w:t>其</w:t>
      </w:r>
      <w:r>
        <w:rPr>
          <w:rFonts w:hint="eastAsia"/>
          <w:lang w:eastAsia="zh-TW"/>
        </w:rPr>
        <w:t>子公司新達制藥分別通過國家和省級高新技術企業認定。取得授權專利</w:t>
      </w:r>
      <w:r>
        <w:rPr>
          <w:lang w:eastAsia="zh-TW"/>
        </w:rPr>
        <w:t>11件。</w:t>
      </w:r>
    </w:p>
    <w:p>
      <w:pPr>
        <w:rPr>
          <w:lang w:eastAsia="zh-TW"/>
        </w:rPr>
      </w:pPr>
      <w:r>
        <w:rPr>
          <w:rFonts w:hint="eastAsia"/>
          <w:lang w:eastAsia="zh-TW"/>
        </w:rPr>
        <w:t>實施專項獎勵，全員降本增效積極性進一步增強。全年完成</w:t>
      </w:r>
      <w:r>
        <w:rPr>
          <w:lang w:eastAsia="zh-TW"/>
        </w:rPr>
        <w:t>50個技術</w:t>
      </w:r>
      <w:r>
        <w:rPr>
          <w:rFonts w:hint="eastAsia"/>
          <w:lang w:eastAsia="zh-TW"/>
        </w:rPr>
        <w:t>質量攻關項目，實現原材料能源消耗節約人民幣</w:t>
      </w:r>
      <w:r>
        <w:rPr>
          <w:lang w:eastAsia="zh-TW"/>
        </w:rPr>
        <w:t>2,551萬元。目前120個自動化系統在運行，11項“機器換人”項目正在實施，一系列重大技術改進取得顯著成效，主要產品生產技術</w:t>
      </w:r>
      <w:r>
        <w:rPr>
          <w:rFonts w:hint="eastAsia"/>
          <w:lang w:eastAsia="zh-TW"/>
        </w:rPr>
        <w:t>水平得到實質提升。</w:t>
      </w:r>
    </w:p>
    <w:p>
      <w:pPr>
        <w:rPr>
          <w:u w:val="single"/>
          <w:lang w:eastAsia="zh-TW"/>
        </w:rPr>
      </w:pPr>
      <w:r>
        <w:rPr>
          <w:u w:val="single"/>
          <w:lang w:eastAsia="zh-TW"/>
        </w:rPr>
        <w:br w:type="page"/>
      </w:r>
      <w:r>
        <w:rPr>
          <w:u w:val="single"/>
          <w:lang w:eastAsia="zh-TW"/>
        </w:rPr>
        <w:t>3.練內功，基礎管理再上新臺階</w:t>
      </w:r>
    </w:p>
    <w:p>
      <w:pPr>
        <w:rPr>
          <w:lang w:eastAsia="zh-TW"/>
        </w:rPr>
      </w:pPr>
      <w:r>
        <w:rPr>
          <w:rFonts w:hint="eastAsia" w:cs="宋体"/>
          <w:lang w:eastAsia="zh-TW"/>
        </w:rPr>
        <w:t>年內本公司</w:t>
      </w:r>
      <w:r>
        <w:rPr>
          <w:rFonts w:hint="eastAsia"/>
          <w:lang w:eastAsia="zh-TW"/>
        </w:rPr>
        <w:t>順利通過新版</w:t>
      </w:r>
      <w:r>
        <w:rPr>
          <w:lang w:eastAsia="zh-TW"/>
        </w:rPr>
        <w:t>ISO9001/14001雙體系認證，6S管理繼續深化，安全、環保、</w:t>
      </w:r>
      <w:r>
        <w:rPr>
          <w:rFonts w:hint="eastAsia"/>
          <w:lang w:eastAsia="zh-TW"/>
        </w:rPr>
        <w:t>質量形勢平穩，未發生一般及以上各類事故。本公司一分廠、二分廠按時取得國家環保部門頒發的排汙許可證。公司主導原料藥產品在京津冀及周邊地區採暖季錯峰生產期間保持了正常生產，保障了市場需求。完成了</w:t>
      </w:r>
      <w:r>
        <w:rPr>
          <w:lang w:eastAsia="zh-TW"/>
        </w:rPr>
        <w:t>13個產品32個國家的DMF註冊。資金集中管控不斷加強，負債結構與財務結構日趨合理，融資成本大幅降低。</w:t>
      </w:r>
    </w:p>
    <w:p>
      <w:pPr>
        <w:rPr>
          <w:u w:val="single"/>
          <w:lang w:eastAsia="zh-TW"/>
        </w:rPr>
      </w:pPr>
      <w:r>
        <w:rPr>
          <w:u w:val="single"/>
          <w:lang w:eastAsia="zh-TW"/>
        </w:rPr>
        <w:t>4.項目建設取得新進展，定向增發順利實施</w:t>
      </w:r>
    </w:p>
    <w:p>
      <w:pPr>
        <w:rPr>
          <w:lang w:eastAsia="zh-TW"/>
        </w:rPr>
      </w:pPr>
      <w:r>
        <w:rPr>
          <w:rFonts w:hint="eastAsia"/>
          <w:lang w:eastAsia="zh-TW"/>
        </w:rPr>
        <w:t>現代醫藥國際合作中心項目主要設備安裝順利，正積極申請</w:t>
      </w:r>
      <w:r>
        <w:rPr>
          <w:lang w:eastAsia="zh-TW"/>
        </w:rPr>
        <w:t>GMP認證。現代醫藥物流中心項目立體庫一期工程完成貨架及設備安裝，正在</w:t>
      </w:r>
      <w:r>
        <w:rPr>
          <w:rFonts w:hint="eastAsia"/>
          <w:lang w:eastAsia="zh-TW"/>
        </w:rPr>
        <w:t>進行調試。激素項目生產廠房全部竣工。</w:t>
      </w:r>
    </w:p>
    <w:p>
      <w:pPr>
        <w:rPr>
          <w:lang w:eastAsia="zh-TW"/>
        </w:rPr>
      </w:pPr>
      <w:r>
        <w:rPr>
          <w:lang w:eastAsia="zh-TW"/>
        </w:rPr>
        <w:t>2017年10月公司成功實施A股定向增發工作，募集資金人民幣2.3億元，同時成功實施了第一期員工持股</w:t>
      </w:r>
      <w:r>
        <w:rPr>
          <w:rFonts w:hint="eastAsia" w:cs="宋体"/>
          <w:lang w:eastAsia="zh-TW"/>
        </w:rPr>
        <w:t>計劃</w:t>
      </w:r>
      <w:r>
        <w:rPr>
          <w:rFonts w:hint="eastAsia"/>
          <w:lang w:eastAsia="zh-TW"/>
        </w:rPr>
        <w:t>，增強了員工凝聚力和企業發展活力。</w:t>
      </w:r>
    </w:p>
    <w:p>
      <w:pPr>
        <w:pStyle w:val="24"/>
        <w:rPr>
          <w:rFonts w:ascii="Times New Roman" w:hAnsi="Times New Roman"/>
          <w:b/>
          <w:sz w:val="22"/>
          <w:lang w:eastAsia="zh-TW"/>
        </w:rPr>
      </w:pPr>
    </w:p>
    <w:p>
      <w:pPr>
        <w:pStyle w:val="24"/>
        <w:rPr>
          <w:rFonts w:ascii="Times New Roman" w:hAnsi="Times New Roman"/>
          <w:b/>
          <w:sz w:val="22"/>
          <w:lang w:eastAsia="zh-TW"/>
        </w:rPr>
      </w:pPr>
      <w:r>
        <w:rPr>
          <w:rFonts w:hint="eastAsia" w:ascii="Times New Roman" w:hAnsi="Times New Roman"/>
          <w:b/>
          <w:sz w:val="22"/>
          <w:lang w:eastAsia="zh-TW"/>
        </w:rPr>
        <w:t>八、未來展望</w:t>
      </w:r>
    </w:p>
    <w:p>
      <w:pPr>
        <w:adjustRightInd w:val="0"/>
        <w:snapToGrid w:val="0"/>
        <w:spacing w:line="320" w:lineRule="exact"/>
        <w:rPr>
          <w:shd w:val="clear" w:color="auto" w:fill="FFFFFF"/>
          <w:lang w:eastAsia="zh-TW"/>
        </w:rPr>
      </w:pPr>
      <w:r>
        <w:rPr>
          <w:rFonts w:hint="eastAsia"/>
          <w:shd w:val="clear" w:color="auto" w:fill="FFFFFF"/>
          <w:lang w:eastAsia="zh-TW"/>
        </w:rPr>
        <w:t>隨著國家各項改革加快推進，企業發展及改革迎來良好環境。醫藥衛生體制改革不斷深化，為加快發展企業提供了更多機遇。</w:t>
      </w:r>
      <w:r>
        <w:rPr>
          <w:shd w:val="clear" w:color="auto" w:fill="FFFFFF"/>
          <w:lang w:eastAsia="zh-TW"/>
        </w:rPr>
        <w:t>A</w:t>
      </w:r>
      <w:r>
        <w:rPr>
          <w:rFonts w:hint="eastAsia"/>
          <w:shd w:val="clear" w:color="auto" w:fill="FFFFFF"/>
          <w:lang w:eastAsia="zh-TW"/>
        </w:rPr>
        <w:t>股增發及員工持股</w:t>
      </w:r>
      <w:r>
        <w:rPr>
          <w:rFonts w:hint="eastAsia" w:cs="宋体"/>
          <w:szCs w:val="21"/>
          <w:shd w:val="clear" w:color="auto" w:fill="FFFFFF"/>
          <w:lang w:eastAsia="zh-TW"/>
        </w:rPr>
        <w:t>計劃</w:t>
      </w:r>
      <w:r>
        <w:rPr>
          <w:rFonts w:hint="eastAsia"/>
          <w:shd w:val="clear" w:color="auto" w:fill="FFFFFF"/>
          <w:lang w:eastAsia="zh-TW"/>
        </w:rPr>
        <w:t>順利完成；隨著本公司安全環保</w:t>
      </w:r>
      <w:r>
        <w:rPr>
          <w:rFonts w:hint="eastAsia"/>
          <w:lang w:eastAsia="zh-TW"/>
        </w:rPr>
        <w:t>質量</w:t>
      </w:r>
      <w:r>
        <w:rPr>
          <w:rFonts w:hint="eastAsia"/>
          <w:shd w:val="clear" w:color="auto" w:fill="FFFFFF"/>
          <w:lang w:eastAsia="zh-TW"/>
        </w:rPr>
        <w:t>等基礎管理</w:t>
      </w:r>
      <w:r>
        <w:rPr>
          <w:rFonts w:hint="eastAsia"/>
          <w:lang w:eastAsia="zh-TW"/>
        </w:rPr>
        <w:t>水平</w:t>
      </w:r>
      <w:r>
        <w:rPr>
          <w:rFonts w:hint="eastAsia"/>
          <w:shd w:val="clear" w:color="auto" w:fill="FFFFFF"/>
          <w:lang w:eastAsia="zh-TW"/>
        </w:rPr>
        <w:t>的提高，主導原料藥綜合優勢不斷增強，新原料藥快速成長；大製劑戰略持續推進，重點製劑產品繼續保持較快發展，企業發展內生動力不斷增強。一系列激勵措施實施，員工凝聚力不斷增強，公司發展的內在動力不斷提升。</w:t>
      </w:r>
    </w:p>
    <w:p>
      <w:pPr>
        <w:adjustRightInd w:val="0"/>
        <w:snapToGrid w:val="0"/>
        <w:spacing w:line="320" w:lineRule="exact"/>
        <w:rPr>
          <w:lang w:eastAsia="zh-TW"/>
        </w:rPr>
      </w:pPr>
      <w:r>
        <w:rPr>
          <w:rFonts w:hint="eastAsia"/>
          <w:shd w:val="clear" w:color="auto" w:fill="FFFFFF"/>
          <w:lang w:eastAsia="zh-TW"/>
        </w:rPr>
        <w:t>同時，本集團發展面臨諸多不確定因素和困難。國際形勢複雜多變，國際貿易與合作不確定性因素增多；國內市場競爭更加激烈，公司主導產品面臨潛在市場壓力；採購成本上升，研發投入增加，人員工資及工資性費用上漲，提升公司盈利</w:t>
      </w:r>
      <w:r>
        <w:rPr>
          <w:rFonts w:hint="eastAsia"/>
          <w:lang w:eastAsia="zh-TW"/>
        </w:rPr>
        <w:t>水平</w:t>
      </w:r>
      <w:r>
        <w:rPr>
          <w:rFonts w:hint="eastAsia"/>
          <w:shd w:val="clear" w:color="auto" w:fill="FFFFFF"/>
          <w:lang w:eastAsia="zh-TW"/>
        </w:rPr>
        <w:t>的壓力加大；安全環保要求日益趨嚴，投入加大，生產組織要求更高。</w:t>
      </w:r>
    </w:p>
    <w:p>
      <w:pPr>
        <w:spacing w:line="320" w:lineRule="exact"/>
        <w:rPr>
          <w:lang w:eastAsia="zh-TW"/>
        </w:rPr>
      </w:pPr>
      <w:r>
        <w:rPr>
          <w:rFonts w:hint="eastAsia"/>
          <w:lang w:eastAsia="zh-TW"/>
        </w:rPr>
        <w:t>為此，</w:t>
      </w:r>
      <w:r>
        <w:rPr>
          <w:lang w:eastAsia="zh-TW"/>
        </w:rPr>
        <w:t>2018年重點工作如下：</w:t>
      </w:r>
    </w:p>
    <w:p>
      <w:pPr>
        <w:spacing w:line="320" w:lineRule="exact"/>
        <w:rPr>
          <w:u w:val="single"/>
          <w:lang w:eastAsia="zh-TW"/>
        </w:rPr>
      </w:pPr>
      <w:r>
        <w:rPr>
          <w:u w:val="single"/>
          <w:lang w:eastAsia="zh-TW"/>
        </w:rPr>
        <w:t>1.充分發揮市場營銷帶動作用，培育新的經濟增長點</w:t>
      </w:r>
    </w:p>
    <w:p>
      <w:pPr>
        <w:spacing w:line="320" w:lineRule="exact"/>
        <w:rPr>
          <w:lang w:eastAsia="zh-TW"/>
        </w:rPr>
      </w:pPr>
      <w:r>
        <w:rPr>
          <w:rFonts w:hint="eastAsia"/>
          <w:lang w:eastAsia="zh-TW"/>
        </w:rPr>
        <w:t>加快實施大製劑戰略。創新製劑營銷思路，完善激勵，充分激發營銷人員積極性。進一步加大戰略品種的培育，特別是抓住介寧、保暢進入全國醫保的機會，進一步加大培育力度。發揮配套生產優勢，實施製劑“品牌普藥”戰略，打造“解熱鎮痛藥物製劑名牌”。積極做好基藥招標，加快中標地區業務跟進和品種覆蓋。加強終端開發，打造電子商務新平臺，加快“健康城市”項目進展，加快電商創新園佈局，爭取在創業孵化、電子處方流轉、遠程診療、跨境業務等方面實現新突破。</w:t>
      </w:r>
    </w:p>
    <w:p>
      <w:pPr>
        <w:spacing w:line="320" w:lineRule="exact"/>
        <w:rPr>
          <w:lang w:eastAsia="zh-TW"/>
        </w:rPr>
      </w:pPr>
      <w:r>
        <w:rPr>
          <w:rFonts w:hint="eastAsia"/>
          <w:lang w:eastAsia="zh-TW"/>
        </w:rPr>
        <w:t>狠抓主導原料藥市場開發，擴大銷售規模。搶抓機遇，充分發揮差異化營銷優勢，加大與其他板塊協同，實現效益最大化。進一步完善新原料藥銷售激勵政策，抓好特色原料藥市場推廣，努力培育新的增長點。</w:t>
      </w:r>
    </w:p>
    <w:p>
      <w:pPr>
        <w:spacing w:line="320" w:lineRule="exact"/>
        <w:rPr>
          <w:u w:val="single"/>
          <w:lang w:eastAsia="zh-TW"/>
        </w:rPr>
      </w:pPr>
      <w:r>
        <w:rPr>
          <w:u w:val="single"/>
          <w:lang w:eastAsia="zh-TW"/>
        </w:rPr>
        <w:br w:type="page"/>
      </w:r>
      <w:r>
        <w:rPr>
          <w:u w:val="single"/>
          <w:lang w:eastAsia="zh-TW"/>
        </w:rPr>
        <w:t>2.狠抓科技創新，進一步增強公司發展後勁</w:t>
      </w:r>
    </w:p>
    <w:p>
      <w:pPr>
        <w:spacing w:line="320" w:lineRule="exact"/>
        <w:rPr>
          <w:lang w:eastAsia="zh-TW"/>
        </w:rPr>
      </w:pPr>
      <w:r>
        <w:rPr>
          <w:rFonts w:hint="eastAsia"/>
          <w:lang w:eastAsia="zh-TW"/>
        </w:rPr>
        <w:t>進一步加快新藥研發與一致性評價步伐，優化新品研發佈局，</w:t>
      </w:r>
      <w:r>
        <w:rPr>
          <w:lang w:eastAsia="zh-TW"/>
        </w:rPr>
        <w:t>2018年爭取獲得新產品文號2個，通過一致性評價臨床研究</w:t>
      </w:r>
      <w:r>
        <w:rPr>
          <w:rFonts w:hint="eastAsia"/>
          <w:lang w:eastAsia="zh-TW"/>
        </w:rPr>
        <w:t>（</w:t>
      </w:r>
      <w:r>
        <w:rPr>
          <w:lang w:eastAsia="zh-TW"/>
        </w:rPr>
        <w:t>BE)產品8個，抗體偶聯等重大創新藥物研發取得實質進展。進一步加大對外合作力度，加快新產品新技術引進，力爭2018在產學</w:t>
      </w:r>
      <w:r>
        <w:rPr>
          <w:rFonts w:hint="eastAsia"/>
          <w:lang w:eastAsia="zh-TW"/>
        </w:rPr>
        <w:t>研合作方面再取得實質成果。</w:t>
      </w:r>
    </w:p>
    <w:p>
      <w:pPr>
        <w:spacing w:line="320" w:lineRule="exact"/>
        <w:rPr>
          <w:lang w:eastAsia="zh-TW"/>
        </w:rPr>
      </w:pPr>
      <w:r>
        <w:rPr>
          <w:lang w:eastAsia="zh-TW"/>
        </w:rPr>
        <w:t>2018年力爭實現依達</w:t>
      </w:r>
      <w:r>
        <w:rPr>
          <w:rFonts w:hint="eastAsia"/>
          <w:lang w:eastAsia="zh-TW"/>
        </w:rPr>
        <w:t>拉奉等</w:t>
      </w:r>
      <w:r>
        <w:rPr>
          <w:lang w:eastAsia="zh-TW"/>
        </w:rPr>
        <w:t>4個新產品產業化轉化，同時加大對現有新產品商業化的考核力度，讓新成果以</w:t>
      </w:r>
      <w:r>
        <w:rPr>
          <w:rFonts w:hint="eastAsia"/>
          <w:lang w:eastAsia="zh-TW"/>
        </w:rPr>
        <w:t>最快速度轉化為生產力。</w:t>
      </w:r>
    </w:p>
    <w:p>
      <w:pPr>
        <w:spacing w:line="320" w:lineRule="exact"/>
        <w:rPr>
          <w:lang w:eastAsia="zh-TW"/>
        </w:rPr>
      </w:pPr>
      <w:r>
        <w:rPr>
          <w:rFonts w:hint="eastAsia"/>
          <w:lang w:eastAsia="zh-TW"/>
        </w:rPr>
        <w:t>進一步加大對技術進步、創新創效的獎勵力度，大力開展群眾性技術質量攻關活動。要充分發揮</w:t>
      </w:r>
      <w:r>
        <w:rPr>
          <w:rFonts w:hint="eastAsia" w:cs="宋体"/>
          <w:szCs w:val="21"/>
          <w:lang w:eastAsia="zh-TW"/>
        </w:rPr>
        <w:t>其</w:t>
      </w:r>
      <w:r>
        <w:rPr>
          <w:rFonts w:hint="eastAsia"/>
          <w:lang w:eastAsia="zh-TW"/>
        </w:rPr>
        <w:t>“解熱鎮痛藥先進製造工程研究中心”作用，加快工程技術應用與成果轉化。</w:t>
      </w:r>
    </w:p>
    <w:p>
      <w:pPr>
        <w:spacing w:line="320" w:lineRule="exact"/>
        <w:rPr>
          <w:u w:val="single"/>
          <w:lang w:eastAsia="zh-TW"/>
        </w:rPr>
      </w:pPr>
      <w:r>
        <w:rPr>
          <w:u w:val="single"/>
          <w:lang w:eastAsia="zh-TW"/>
        </w:rPr>
        <w:t>3.繼續推進國際化經營戰略，開創發展新局面</w:t>
      </w:r>
    </w:p>
    <w:p>
      <w:pPr>
        <w:spacing w:line="320" w:lineRule="exact"/>
        <w:rPr>
          <w:lang w:eastAsia="zh-TW"/>
        </w:rPr>
      </w:pPr>
      <w:r>
        <w:rPr>
          <w:rFonts w:hint="eastAsia"/>
          <w:lang w:eastAsia="zh-TW"/>
        </w:rPr>
        <w:t>以國際委託加工為突破口，全面提升製劑發展水平。抓好國際委託加工產品生產，保證產品質量，確保及時供貨。</w:t>
      </w:r>
    </w:p>
    <w:p>
      <w:pPr>
        <w:spacing w:line="320" w:lineRule="exact"/>
        <w:rPr>
          <w:lang w:eastAsia="zh-TW"/>
        </w:rPr>
      </w:pPr>
      <w:r>
        <w:rPr>
          <w:rFonts w:hint="eastAsia"/>
          <w:lang w:eastAsia="zh-TW"/>
        </w:rPr>
        <w:t>加快現代醫藥國際合作中心設備安裝調試及新增生產線項目建設，力爭儘早通過</w:t>
      </w:r>
      <w:r>
        <w:rPr>
          <w:lang w:eastAsia="zh-TW"/>
        </w:rPr>
        <w:t>GMP認證以及MHRA檢查，並以此為基礎，加快推進國際項目合作。適時啟動</w:t>
      </w:r>
      <w:r>
        <w:rPr>
          <w:rFonts w:hint="eastAsia" w:cs="宋体"/>
          <w:szCs w:val="21"/>
          <w:lang w:eastAsia="zh-TW"/>
        </w:rPr>
        <w:t>現代醫藥國際合作中心</w:t>
      </w:r>
      <w:r>
        <w:rPr>
          <w:lang w:eastAsia="zh-TW"/>
        </w:rPr>
        <w:t>二期設計建設準備工作。</w:t>
      </w:r>
    </w:p>
    <w:p>
      <w:pPr>
        <w:spacing w:line="320" w:lineRule="exact"/>
        <w:rPr>
          <w:lang w:eastAsia="zh-TW"/>
        </w:rPr>
      </w:pPr>
      <w:r>
        <w:rPr>
          <w:rFonts w:hint="eastAsia"/>
          <w:lang w:eastAsia="zh-TW"/>
        </w:rPr>
        <w:t>繼續抓好原料藥</w:t>
      </w:r>
      <w:r>
        <w:rPr>
          <w:lang w:eastAsia="zh-TW"/>
        </w:rPr>
        <w:t>DMF註冊，同時充分利用好各種國際註冊資源，加快現有產品ANDA註冊和NDA註冊，爭取2018年啟動2-3個產品的ANDA註冊。</w:t>
      </w:r>
    </w:p>
    <w:p>
      <w:pPr>
        <w:spacing w:line="320" w:lineRule="exact"/>
        <w:rPr>
          <w:u w:val="single"/>
          <w:lang w:eastAsia="zh-TW"/>
        </w:rPr>
      </w:pPr>
      <w:r>
        <w:rPr>
          <w:u w:val="single"/>
          <w:lang w:eastAsia="zh-TW"/>
        </w:rPr>
        <w:t>4.完善激勵機制，充分調動員工積極性</w:t>
      </w:r>
    </w:p>
    <w:p>
      <w:pPr>
        <w:spacing w:line="320" w:lineRule="exact"/>
        <w:rPr>
          <w:lang w:eastAsia="zh-TW"/>
        </w:rPr>
      </w:pPr>
      <w:r>
        <w:rPr>
          <w:rFonts w:hint="eastAsia"/>
          <w:lang w:eastAsia="zh-TW"/>
        </w:rPr>
        <w:t>進一步完善各層面考核激勵辦法，建立和貢獻直接掛鉤的激勵分配機制，更好發揮薪酬分配激勵作用。積極探索建立完善長效激勵機制。</w:t>
      </w:r>
    </w:p>
    <w:p>
      <w:pPr>
        <w:spacing w:line="320" w:lineRule="exact"/>
        <w:rPr>
          <w:lang w:eastAsia="zh-TW"/>
        </w:rPr>
      </w:pPr>
      <w:r>
        <w:rPr>
          <w:rFonts w:hint="eastAsia"/>
          <w:lang w:eastAsia="zh-TW"/>
        </w:rPr>
        <w:t>完善現有科研人員激勵辦法，將多種激勵方式密切結合起來。進一步完善營銷人員目標考核辦法，將新產品考核、市場份額提升等中長期目標列為考核內容，探索多重激勵方式。</w:t>
      </w:r>
    </w:p>
    <w:p>
      <w:pPr>
        <w:spacing w:line="320" w:lineRule="exact"/>
        <w:rPr>
          <w:u w:val="single"/>
          <w:lang w:eastAsia="zh-TW"/>
        </w:rPr>
      </w:pPr>
      <w:r>
        <w:rPr>
          <w:u w:val="single"/>
          <w:lang w:eastAsia="zh-TW"/>
        </w:rPr>
        <w:t>5.</w:t>
      </w:r>
      <w:r>
        <w:rPr>
          <w:rFonts w:hint="eastAsia"/>
          <w:u w:val="single"/>
          <w:lang w:eastAsia="zh-TW"/>
        </w:rPr>
        <w:t>打牢管理基礎，建設花園式、智慧型工廠</w:t>
      </w:r>
    </w:p>
    <w:p>
      <w:pPr>
        <w:spacing w:line="320" w:lineRule="exact"/>
        <w:rPr>
          <w:lang w:eastAsia="zh-TW"/>
        </w:rPr>
      </w:pPr>
      <w:r>
        <w:rPr>
          <w:rFonts w:hint="eastAsia"/>
          <w:lang w:eastAsia="zh-TW"/>
        </w:rPr>
        <w:t>狠抓“三個生命線工程”。進一步加大安全投入，實施安全裝置自動化和連鎖改造，開展危險工藝反應安全風險評估，改善勞動環境，提升本質安全水平；保障環保投入，從點源治理入手，以實現“零排放”為目標，加快工藝技術改進和資源綜合利用；持續開展好全員技術質量活動，實施好攻關項目，以技術措施解決質量問題。</w:t>
      </w:r>
    </w:p>
    <w:p>
      <w:pPr>
        <w:spacing w:line="320" w:lineRule="exact"/>
        <w:rPr>
          <w:lang w:eastAsia="zh-TW"/>
        </w:rPr>
      </w:pPr>
      <w:r>
        <w:rPr>
          <w:rFonts w:hint="eastAsia"/>
          <w:lang w:eastAsia="zh-TW"/>
        </w:rPr>
        <w:t>加快花園式工廠建設。將消防、質量、設備等專業管理要求納入</w:t>
      </w:r>
      <w:r>
        <w:rPr>
          <w:lang w:eastAsia="zh-TW"/>
        </w:rPr>
        <w:t>6S管理考核標準，促進6S工作的不斷深入。加強園區環境建設，做好統一規劃，精心組織實施，加強綠化美化，建設美麗園區。</w:t>
      </w:r>
    </w:p>
    <w:p>
      <w:pPr>
        <w:spacing w:line="320" w:lineRule="exact"/>
        <w:rPr>
          <w:lang w:eastAsia="zh-TW"/>
        </w:rPr>
      </w:pPr>
      <w:r>
        <w:rPr>
          <w:rFonts w:hint="eastAsia"/>
          <w:lang w:eastAsia="zh-TW"/>
        </w:rPr>
        <w:t>加快智能工廠建設。進一步加快新技術、新設備的推廣應用，抓好重點原料藥產品自動化連續化生產改造，加快實施“機器換人”項目。</w:t>
      </w:r>
    </w:p>
    <w:p>
      <w:pPr>
        <w:pStyle w:val="24"/>
        <w:ind w:left="-94" w:leftChars="-45"/>
        <w:rPr>
          <w:rFonts w:ascii="Times New Roman" w:hAnsi="Times New Roman"/>
          <w:sz w:val="22"/>
          <w:lang w:eastAsia="zh-TW"/>
        </w:rPr>
      </w:pPr>
      <w:r>
        <w:rPr>
          <w:rFonts w:ascii="Times New Roman" w:hAnsi="Times New Roman"/>
          <w:sz w:val="22"/>
          <w:lang w:eastAsia="zh-TW"/>
        </w:rPr>
        <w:br w:type="page"/>
      </w:r>
    </w:p>
    <w:p>
      <w:pPr>
        <w:pStyle w:val="24"/>
        <w:rPr>
          <w:rFonts w:ascii="Times New Roman" w:hAnsi="Times New Roman"/>
          <w:b/>
          <w:sz w:val="22"/>
          <w:lang w:eastAsia="zh-TW"/>
        </w:rPr>
      </w:pPr>
      <w:r>
        <w:rPr>
          <w:rFonts w:hint="eastAsia" w:ascii="Times New Roman" w:hAnsi="Times New Roman"/>
          <w:b/>
          <w:sz w:val="22"/>
          <w:lang w:eastAsia="zh-TW"/>
        </w:rPr>
        <w:t>九、重要事項</w:t>
      </w:r>
    </w:p>
    <w:p>
      <w:pPr>
        <w:pStyle w:val="24"/>
        <w:rPr>
          <w:rFonts w:ascii="Times New Roman" w:hAnsi="Times New Roman"/>
          <w:sz w:val="22"/>
          <w:lang w:eastAsia="zh-TW"/>
        </w:rPr>
      </w:pPr>
    </w:p>
    <w:p>
      <w:pPr>
        <w:pStyle w:val="24"/>
        <w:spacing w:line="320" w:lineRule="exact"/>
        <w:rPr>
          <w:rFonts w:ascii="Times New Roman" w:hAnsi="Times New Roman"/>
          <w:b/>
          <w:sz w:val="22"/>
          <w:lang w:eastAsia="zh-TW"/>
        </w:rPr>
      </w:pPr>
      <w:r>
        <w:rPr>
          <w:rFonts w:hint="eastAsia" w:ascii="Times New Roman" w:hAnsi="Times New Roman"/>
          <w:b/>
          <w:sz w:val="22"/>
          <w:lang w:eastAsia="zh-TW"/>
        </w:rPr>
        <w:t>員工及其薪金</w:t>
      </w:r>
    </w:p>
    <w:p>
      <w:pPr>
        <w:pStyle w:val="24"/>
        <w:rPr>
          <w:rFonts w:ascii="Times New Roman" w:hAnsi="Times New Roman"/>
          <w:sz w:val="22"/>
          <w:lang w:eastAsia="zh-TW"/>
        </w:rPr>
      </w:pPr>
      <w:r>
        <w:rPr>
          <w:rFonts w:hint="eastAsia" w:ascii="Times New Roman" w:hAnsi="Times New Roman"/>
          <w:sz w:val="22"/>
          <w:lang w:eastAsia="zh-TW"/>
        </w:rPr>
        <w:t>本集團主要依據國家政策、公司經濟效益情況，並參考社會報酬</w:t>
      </w:r>
      <w:r>
        <w:rPr>
          <w:rFonts w:hint="eastAsia" w:ascii="Times New Roman" w:hAnsi="Times New Roman"/>
          <w:sz w:val="21"/>
          <w:lang w:eastAsia="zh-TW"/>
        </w:rPr>
        <w:t>水平</w:t>
      </w:r>
      <w:r>
        <w:rPr>
          <w:rFonts w:hint="eastAsia" w:ascii="Times New Roman" w:hAnsi="Times New Roman"/>
          <w:sz w:val="22"/>
          <w:lang w:eastAsia="zh-TW"/>
        </w:rPr>
        <w:t>，確定員工薪酬。</w:t>
      </w:r>
    </w:p>
    <w:p>
      <w:pPr>
        <w:pStyle w:val="24"/>
        <w:rPr>
          <w:rFonts w:ascii="Times New Roman" w:hAnsi="Times New Roman"/>
          <w:sz w:val="22"/>
          <w:lang w:eastAsia="zh-TW"/>
        </w:rPr>
      </w:pPr>
      <w:r>
        <w:rPr>
          <w:rFonts w:hint="eastAsia" w:ascii="Times New Roman" w:hAnsi="Times New Roman"/>
          <w:sz w:val="22"/>
          <w:lang w:eastAsia="zh-TW"/>
        </w:rPr>
        <w:t>於</w:t>
      </w:r>
      <w:r>
        <w:rPr>
          <w:rFonts w:ascii="Times New Roman" w:hAnsi="Times New Roman"/>
          <w:sz w:val="22"/>
          <w:lang w:eastAsia="zh-TW"/>
        </w:rPr>
        <w:t>2017年12月31日，本集團員工人數為6,384人，2017年全年員工工資總額為人民幣435,814千元。</w:t>
      </w:r>
    </w:p>
    <w:p>
      <w:pPr>
        <w:pStyle w:val="24"/>
        <w:spacing w:line="320" w:lineRule="exact"/>
        <w:rPr>
          <w:rFonts w:ascii="Times New Roman" w:hAnsi="Times New Roman"/>
          <w:b/>
          <w:sz w:val="22"/>
          <w:lang w:eastAsia="zh-TW"/>
        </w:rPr>
      </w:pPr>
      <w:r>
        <w:rPr>
          <w:rFonts w:hint="eastAsia" w:ascii="Times New Roman" w:hAnsi="Times New Roman"/>
          <w:b/>
          <w:sz w:val="22"/>
          <w:lang w:eastAsia="zh-TW"/>
        </w:rPr>
        <w:t>購買、出售及贖回本公司之上市股份</w:t>
      </w:r>
    </w:p>
    <w:p>
      <w:pPr>
        <w:pStyle w:val="24"/>
        <w:spacing w:line="320" w:lineRule="exact"/>
        <w:rPr>
          <w:rFonts w:ascii="Times New Roman" w:hAnsi="Times New Roman"/>
          <w:sz w:val="22"/>
          <w:lang w:eastAsia="zh-TW"/>
        </w:rPr>
      </w:pPr>
      <w:r>
        <w:rPr>
          <w:rFonts w:hint="eastAsia" w:ascii="Times New Roman" w:hAnsi="Times New Roman"/>
          <w:sz w:val="22"/>
          <w:lang w:eastAsia="zh-TW"/>
        </w:rPr>
        <w:t>除已於本公司日期為</w:t>
      </w:r>
      <w:r>
        <w:rPr>
          <w:rFonts w:ascii="Times New Roman" w:hAnsi="Times New Roman"/>
          <w:sz w:val="22"/>
          <w:lang w:eastAsia="zh-TW"/>
        </w:rPr>
        <w:t>2017</w:t>
      </w:r>
      <w:r>
        <w:rPr>
          <w:rFonts w:hint="eastAsia" w:ascii="Times New Roman" w:hAnsi="Times New Roman"/>
          <w:sz w:val="22"/>
          <w:lang w:eastAsia="zh-TW"/>
        </w:rPr>
        <w:t>年</w:t>
      </w:r>
      <w:r>
        <w:rPr>
          <w:rFonts w:ascii="Times New Roman" w:hAnsi="Times New Roman"/>
          <w:sz w:val="22"/>
          <w:lang w:eastAsia="zh-TW"/>
        </w:rPr>
        <w:t>10</w:t>
      </w:r>
      <w:r>
        <w:rPr>
          <w:rFonts w:hint="eastAsia" w:ascii="Times New Roman" w:hAnsi="Times New Roman"/>
          <w:sz w:val="22"/>
          <w:lang w:eastAsia="zh-TW"/>
        </w:rPr>
        <w:t>月</w:t>
      </w:r>
      <w:r>
        <w:rPr>
          <w:rFonts w:ascii="Times New Roman" w:hAnsi="Times New Roman"/>
          <w:sz w:val="22"/>
          <w:lang w:eastAsia="zh-TW"/>
        </w:rPr>
        <w:t>11</w:t>
      </w:r>
      <w:r>
        <w:rPr>
          <w:rFonts w:hint="eastAsia" w:ascii="Times New Roman" w:hAnsi="Times New Roman"/>
          <w:sz w:val="22"/>
          <w:lang w:eastAsia="zh-TW"/>
        </w:rPr>
        <w:t>日及</w:t>
      </w:r>
      <w:r>
        <w:rPr>
          <w:rFonts w:ascii="Times New Roman" w:hAnsi="Times New Roman"/>
          <w:sz w:val="22"/>
          <w:lang w:eastAsia="zh-TW"/>
        </w:rPr>
        <w:t>16</w:t>
      </w:r>
      <w:r>
        <w:rPr>
          <w:rFonts w:hint="eastAsia" w:ascii="Times New Roman" w:hAnsi="Times New Roman"/>
          <w:sz w:val="22"/>
          <w:lang w:eastAsia="zh-TW"/>
        </w:rPr>
        <w:t>日公告所披露之非公開發行及配售本公司</w:t>
      </w:r>
      <w:r>
        <w:rPr>
          <w:rFonts w:ascii="Times New Roman" w:hAnsi="Times New Roman"/>
          <w:sz w:val="22"/>
          <w:lang w:eastAsia="zh-TW"/>
        </w:rPr>
        <w:t>A</w:t>
      </w:r>
      <w:r>
        <w:rPr>
          <w:rFonts w:hint="eastAsia" w:ascii="Times New Roman" w:hAnsi="Times New Roman"/>
          <w:sz w:val="22"/>
          <w:lang w:eastAsia="zh-TW"/>
        </w:rPr>
        <w:t>股股份事宜以外，截至</w:t>
      </w:r>
      <w:r>
        <w:rPr>
          <w:rFonts w:ascii="Times New Roman" w:hAnsi="Times New Roman"/>
          <w:sz w:val="22"/>
          <w:lang w:eastAsia="zh-TW"/>
        </w:rPr>
        <w:t>2017年12</w:t>
      </w:r>
      <w:r>
        <w:rPr>
          <w:rFonts w:hint="eastAsia" w:ascii="Times New Roman" w:hAnsi="Times New Roman"/>
          <w:sz w:val="22"/>
          <w:lang w:eastAsia="zh-TW"/>
        </w:rPr>
        <w:t>月</w:t>
      </w:r>
      <w:r>
        <w:rPr>
          <w:rFonts w:ascii="Times New Roman" w:hAnsi="Times New Roman"/>
          <w:sz w:val="22"/>
          <w:lang w:eastAsia="zh-TW"/>
        </w:rPr>
        <w:t>31</w:t>
      </w:r>
      <w:r>
        <w:rPr>
          <w:rFonts w:hint="eastAsia" w:ascii="Times New Roman" w:hAnsi="Times New Roman"/>
          <w:sz w:val="22"/>
          <w:lang w:eastAsia="zh-TW"/>
        </w:rPr>
        <w:t>日止年度內本公司及其附屬公司並無購買、出售及贖回其任何上市證券。</w:t>
      </w:r>
    </w:p>
    <w:p>
      <w:pPr>
        <w:pStyle w:val="24"/>
        <w:spacing w:line="320" w:lineRule="exact"/>
        <w:rPr>
          <w:rFonts w:ascii="Times New Roman" w:hAnsi="Times New Roman"/>
          <w:b/>
          <w:sz w:val="24"/>
          <w:lang w:eastAsia="zh-TW"/>
        </w:rPr>
      </w:pPr>
      <w:r>
        <w:rPr>
          <w:rFonts w:hint="eastAsia" w:ascii="Times New Roman" w:hAnsi="Times New Roman"/>
          <w:b/>
          <w:sz w:val="24"/>
          <w:lang w:eastAsia="zh-TW"/>
        </w:rPr>
        <w:t>核數師</w:t>
      </w:r>
    </w:p>
    <w:p>
      <w:pPr>
        <w:pStyle w:val="24"/>
        <w:spacing w:line="320" w:lineRule="exact"/>
        <w:rPr>
          <w:rFonts w:ascii="Times New Roman" w:hAnsi="Times New Roman"/>
          <w:sz w:val="22"/>
          <w:lang w:eastAsia="zh-TW"/>
        </w:rPr>
      </w:pPr>
      <w:r>
        <w:rPr>
          <w:rFonts w:hint="eastAsia" w:ascii="Times New Roman" w:hAnsi="Times New Roman"/>
          <w:sz w:val="22"/>
          <w:lang w:eastAsia="zh-TW"/>
        </w:rPr>
        <w:t>本公司及本集團本年度按照《中國企業會計準則》編製的賬目已由信永中和會計師事務所（中國註冊會計師）審核。</w:t>
      </w:r>
    </w:p>
    <w:p>
      <w:pPr>
        <w:pStyle w:val="24"/>
        <w:spacing w:line="320" w:lineRule="exact"/>
        <w:rPr>
          <w:rFonts w:ascii="Times New Roman" w:hAnsi="Times New Roman"/>
          <w:sz w:val="22"/>
          <w:lang w:eastAsia="zh-TW"/>
        </w:rPr>
      </w:pPr>
      <w:r>
        <w:rPr>
          <w:rFonts w:hint="eastAsia" w:ascii="Times New Roman" w:hAnsi="Times New Roman"/>
          <w:sz w:val="22"/>
          <w:lang w:eastAsia="zh-TW"/>
        </w:rPr>
        <w:t>本公司已於二零一七年六月十六日召開的本公司二零一六年度周年股東大會上續聘信永中和會計師事務所為本公司二零一七年度核數師及採用《中國企業會計準則》編製其截至二零一七年十二月三十一日止年度及其後的財務報表。本公司擬於二零一八年召開的本公司二零一七年度周年股東大會上建議續聘信永中和會計師事務所為本公司二零一八年核數師。</w:t>
      </w:r>
    </w:p>
    <w:p>
      <w:pPr>
        <w:pStyle w:val="24"/>
        <w:spacing w:line="320" w:lineRule="exact"/>
        <w:rPr>
          <w:rFonts w:ascii="Times New Roman" w:hAnsi="Times New Roman"/>
          <w:b/>
          <w:sz w:val="24"/>
          <w:lang w:eastAsia="zh-TW"/>
        </w:rPr>
      </w:pPr>
      <w:r>
        <w:rPr>
          <w:rFonts w:hint="eastAsia" w:ascii="Times New Roman" w:hAnsi="Times New Roman"/>
          <w:b/>
          <w:sz w:val="24"/>
          <w:lang w:eastAsia="zh-TW"/>
        </w:rPr>
        <w:t>企業管治守則</w:t>
      </w:r>
    </w:p>
    <w:p>
      <w:pPr>
        <w:pStyle w:val="24"/>
        <w:spacing w:line="320" w:lineRule="exact"/>
        <w:rPr>
          <w:rFonts w:ascii="Times New Roman" w:hAnsi="Times New Roman"/>
          <w:sz w:val="22"/>
          <w:lang w:eastAsia="zh-TW"/>
        </w:rPr>
      </w:pPr>
      <w:r>
        <w:rPr>
          <w:rFonts w:hint="eastAsia" w:ascii="Times New Roman" w:hAnsi="Times New Roman"/>
          <w:sz w:val="22"/>
          <w:lang w:eastAsia="zh-TW"/>
        </w:rPr>
        <w:t>本公司董事（包括獨立非執行董事）確認本公司於截至二零一七年十二月三十一日止年度內已遵守附</w:t>
      </w:r>
      <w:r>
        <w:rPr>
          <w:rFonts w:hint="eastAsia" w:ascii="Times New Roman" w:hAnsi="Times New Roman"/>
          <w:sz w:val="23"/>
          <w:shd w:val="clear" w:color="auto" w:fill="F8F9FA"/>
          <w:lang w:eastAsia="zh-TW"/>
        </w:rPr>
        <w:t>《</w:t>
      </w:r>
      <w:r>
        <w:rPr>
          <w:rFonts w:hint="eastAsia" w:ascii="Times New Roman" w:hAnsi="Times New Roman"/>
          <w:sz w:val="22"/>
          <w:lang w:eastAsia="zh-TW"/>
        </w:rPr>
        <w:t>上市規則</w:t>
      </w:r>
      <w:r>
        <w:rPr>
          <w:rFonts w:hint="eastAsia" w:ascii="Times New Roman" w:hAnsi="Times New Roman"/>
          <w:sz w:val="23"/>
          <w:shd w:val="clear" w:color="auto" w:fill="F8F9FA"/>
          <w:lang w:eastAsia="zh-TW"/>
        </w:rPr>
        <w:t>》附</w:t>
      </w:r>
      <w:r>
        <w:rPr>
          <w:rFonts w:hint="eastAsia" w:ascii="Times New Roman" w:hAnsi="Times New Roman"/>
          <w:sz w:val="22"/>
          <w:lang w:eastAsia="zh-TW"/>
        </w:rPr>
        <w:t>錄十四所載企業管治守則的守則條文。</w:t>
      </w:r>
    </w:p>
    <w:p>
      <w:pPr>
        <w:pStyle w:val="24"/>
        <w:spacing w:line="320" w:lineRule="exact"/>
        <w:rPr>
          <w:rFonts w:ascii="Times New Roman" w:hAnsi="Times New Roman"/>
          <w:sz w:val="24"/>
          <w:lang w:eastAsia="zh-TW"/>
        </w:rPr>
      </w:pPr>
      <w:r>
        <w:rPr>
          <w:rFonts w:hint="eastAsia" w:ascii="Times New Roman" w:hAnsi="Times New Roman"/>
          <w:sz w:val="22"/>
          <w:lang w:eastAsia="zh-TW"/>
        </w:rPr>
        <w:t>本公司一直致力達到根據該守則所述的最佳企業管治</w:t>
      </w:r>
      <w:r>
        <w:rPr>
          <w:rFonts w:hint="eastAsia" w:ascii="Times New Roman" w:hAnsi="Times New Roman"/>
          <w:sz w:val="24"/>
          <w:lang w:eastAsia="zh-TW"/>
        </w:rPr>
        <w:t>。</w:t>
      </w:r>
    </w:p>
    <w:p>
      <w:pPr>
        <w:pStyle w:val="24"/>
        <w:spacing w:line="320" w:lineRule="exact"/>
        <w:rPr>
          <w:rFonts w:ascii="Times New Roman" w:hAnsi="Times New Roman"/>
          <w:b/>
          <w:sz w:val="24"/>
          <w:lang w:eastAsia="zh-TW"/>
        </w:rPr>
      </w:pPr>
      <w:r>
        <w:rPr>
          <w:rFonts w:hint="eastAsia" w:ascii="Times New Roman" w:hAnsi="Times New Roman"/>
          <w:b/>
          <w:sz w:val="24"/>
          <w:lang w:eastAsia="zh-TW"/>
        </w:rPr>
        <w:t>證券交易標準守則</w:t>
      </w:r>
    </w:p>
    <w:p>
      <w:pPr>
        <w:pStyle w:val="24"/>
        <w:spacing w:line="320" w:lineRule="exact"/>
        <w:rPr>
          <w:rFonts w:ascii="Times New Roman" w:hAnsi="Times New Roman"/>
          <w:sz w:val="22"/>
          <w:lang w:eastAsia="zh-TW"/>
        </w:rPr>
      </w:pPr>
      <w:r>
        <w:rPr>
          <w:rFonts w:hint="eastAsia" w:ascii="Times New Roman" w:hAnsi="Times New Roman"/>
          <w:sz w:val="22"/>
          <w:lang w:eastAsia="zh-TW"/>
        </w:rPr>
        <w:t>本公司已採納上市規則附錄十所載上市發行人董事進行證券交易的標準守則（「</w:t>
      </w:r>
      <w:r>
        <w:rPr>
          <w:rFonts w:hint="eastAsia" w:ascii="Times New Roman" w:hAnsi="Times New Roman"/>
          <w:b/>
          <w:sz w:val="22"/>
          <w:lang w:eastAsia="zh-TW"/>
        </w:rPr>
        <w:t>標準守則</w:t>
      </w:r>
      <w:r>
        <w:rPr>
          <w:rFonts w:hint="eastAsia" w:ascii="Times New Roman" w:hAnsi="Times New Roman"/>
          <w:sz w:val="22"/>
          <w:lang w:eastAsia="zh-TW"/>
        </w:rPr>
        <w:t>」）</w:t>
      </w:r>
      <w:r>
        <w:rPr>
          <w:rFonts w:hint="eastAsia" w:ascii="Times New Roman" w:hAnsi="Times New Roman"/>
          <w:sz w:val="24"/>
          <w:lang w:eastAsia="zh-TW"/>
        </w:rPr>
        <w:t>，</w:t>
      </w:r>
      <w:r>
        <w:rPr>
          <w:rFonts w:hint="eastAsia" w:ascii="Times New Roman" w:hAnsi="Times New Roman"/>
          <w:sz w:val="22"/>
          <w:lang w:eastAsia="zh-TW"/>
        </w:rPr>
        <w:t>作為本身就董事進行證券交易之行為守則。向本公司全體董事作出具體查詢後，全體董事均確認彼等於截至二零一七年十二月三十一日止年度一直遵守標準守則所載之規定標準。</w:t>
      </w:r>
    </w:p>
    <w:p>
      <w:pPr>
        <w:pStyle w:val="24"/>
        <w:spacing w:line="320" w:lineRule="exact"/>
        <w:rPr>
          <w:rFonts w:ascii="Times New Roman" w:hAnsi="Times New Roman"/>
          <w:b/>
          <w:sz w:val="24"/>
          <w:lang w:eastAsia="zh-TW"/>
        </w:rPr>
      </w:pPr>
      <w:r>
        <w:rPr>
          <w:rFonts w:hint="eastAsia" w:ascii="Times New Roman" w:hAnsi="Times New Roman"/>
          <w:b/>
          <w:sz w:val="24"/>
          <w:lang w:eastAsia="zh-TW"/>
        </w:rPr>
        <w:t>資產出售、收購</w:t>
      </w:r>
    </w:p>
    <w:p>
      <w:pPr>
        <w:rPr>
          <w:sz w:val="22"/>
          <w:lang w:eastAsia="zh-TW"/>
        </w:rPr>
      </w:pPr>
      <w:r>
        <w:rPr>
          <w:rFonts w:hint="eastAsia"/>
          <w:sz w:val="22"/>
          <w:lang w:eastAsia="zh-TW"/>
        </w:rPr>
        <w:t>於</w:t>
      </w:r>
      <w:r>
        <w:rPr>
          <w:sz w:val="22"/>
          <w:lang w:eastAsia="zh-TW"/>
        </w:rPr>
        <w:t>2017年度</w:t>
      </w:r>
      <w:r>
        <w:rPr>
          <w:kern w:val="0"/>
          <w:sz w:val="22"/>
          <w:lang w:eastAsia="zh-TW"/>
        </w:rPr>
        <w:t>內，</w:t>
      </w:r>
      <w:r>
        <w:rPr>
          <w:rFonts w:hint="eastAsia"/>
          <w:kern w:val="0"/>
          <w:sz w:val="22"/>
          <w:lang w:eastAsia="zh-TW"/>
        </w:rPr>
        <w:t>除於“資金流動性及財政資源、資本結構分析”節披露外，本集團於報告期內無重大收購及出售資產或合併事項。</w:t>
      </w:r>
    </w:p>
    <w:p>
      <w:pPr>
        <w:pStyle w:val="24"/>
        <w:spacing w:line="320" w:lineRule="exact"/>
        <w:rPr>
          <w:rFonts w:ascii="Times New Roman" w:hAnsi="Times New Roman"/>
          <w:sz w:val="24"/>
          <w:lang w:eastAsia="zh-TW"/>
        </w:rPr>
      </w:pPr>
      <w:r>
        <w:rPr>
          <w:rFonts w:ascii="Times New Roman" w:hAnsi="Times New Roman"/>
          <w:sz w:val="24"/>
          <w:lang w:eastAsia="zh-TW"/>
        </w:rPr>
        <w:br w:type="page"/>
      </w:r>
    </w:p>
    <w:p>
      <w:pPr>
        <w:pStyle w:val="24"/>
        <w:spacing w:line="320" w:lineRule="exact"/>
        <w:rPr>
          <w:rFonts w:ascii="Times New Roman" w:hAnsi="Times New Roman"/>
          <w:b/>
          <w:sz w:val="24"/>
          <w:lang w:eastAsia="zh-TW"/>
        </w:rPr>
      </w:pPr>
      <w:r>
        <w:rPr>
          <w:rFonts w:hint="eastAsia" w:ascii="Times New Roman" w:hAnsi="Times New Roman"/>
          <w:b/>
          <w:sz w:val="24"/>
          <w:lang w:eastAsia="zh-TW"/>
        </w:rPr>
        <w:t>公司章程修改</w:t>
      </w:r>
    </w:p>
    <w:p>
      <w:pPr>
        <w:pStyle w:val="24"/>
        <w:spacing w:line="320" w:lineRule="exact"/>
        <w:rPr>
          <w:rFonts w:ascii="Times New Roman" w:hAnsi="Times New Roman"/>
          <w:sz w:val="22"/>
          <w:lang w:eastAsia="zh-TW"/>
        </w:rPr>
      </w:pPr>
      <w:r>
        <w:rPr>
          <w:rFonts w:hint="eastAsia" w:ascii="Times New Roman" w:hAnsi="Times New Roman"/>
          <w:sz w:val="22"/>
          <w:lang w:eastAsia="zh-TW"/>
        </w:rPr>
        <w:t>公司於</w:t>
      </w:r>
      <w:r>
        <w:rPr>
          <w:rFonts w:ascii="Times New Roman" w:hAnsi="Times New Roman"/>
          <w:sz w:val="22"/>
          <w:lang w:eastAsia="zh-TW"/>
        </w:rPr>
        <w:t>2017年12</w:t>
      </w:r>
      <w:r>
        <w:rPr>
          <w:rFonts w:hint="eastAsia" w:ascii="Times New Roman" w:hAnsi="Times New Roman"/>
          <w:sz w:val="22"/>
          <w:lang w:eastAsia="zh-TW"/>
        </w:rPr>
        <w:t>月</w:t>
      </w:r>
      <w:r>
        <w:rPr>
          <w:rFonts w:ascii="Times New Roman" w:hAnsi="Times New Roman"/>
          <w:sz w:val="22"/>
          <w:lang w:eastAsia="zh-TW"/>
        </w:rPr>
        <w:t>22日召開2017年第一次臨時股東大會審議通過了修改公司章程的議案。公司章程的修改符合公司《公司章程》以及中國相關法律、行政法規和規範性檔的有關規定，並符合香港《上市規則》的規定。</w:t>
      </w:r>
    </w:p>
    <w:p>
      <w:pPr>
        <w:pStyle w:val="24"/>
        <w:spacing w:line="320" w:lineRule="exact"/>
        <w:rPr>
          <w:rFonts w:ascii="Times New Roman" w:hAnsi="Times New Roman"/>
          <w:sz w:val="22"/>
          <w:lang w:eastAsia="zh-TW"/>
        </w:rPr>
      </w:pPr>
      <w:r>
        <w:rPr>
          <w:rFonts w:hint="eastAsia" w:ascii="Times New Roman" w:hAnsi="Times New Roman"/>
          <w:sz w:val="22"/>
          <w:lang w:eastAsia="zh-TW"/>
        </w:rPr>
        <w:t>為進一步加強本公司的公司管治，董事會建議修改公司章程第</w:t>
      </w:r>
      <w:r>
        <w:rPr>
          <w:rFonts w:ascii="Times New Roman" w:hAnsi="Times New Roman"/>
          <w:sz w:val="22"/>
          <w:lang w:eastAsia="zh-TW"/>
        </w:rPr>
        <w:t>121(a)</w:t>
      </w:r>
      <w:r>
        <w:rPr>
          <w:rFonts w:hint="eastAsia" w:ascii="Times New Roman" w:hAnsi="Times New Roman"/>
          <w:sz w:val="22"/>
          <w:lang w:eastAsia="zh-TW"/>
        </w:rPr>
        <w:t>及</w:t>
      </w:r>
      <w:r>
        <w:rPr>
          <w:rFonts w:ascii="Times New Roman" w:hAnsi="Times New Roman"/>
          <w:sz w:val="22"/>
          <w:lang w:eastAsia="zh-TW"/>
        </w:rPr>
        <w:t>(c)</w:t>
      </w:r>
      <w:r>
        <w:rPr>
          <w:rFonts w:hint="eastAsia" w:ascii="Times New Roman" w:hAnsi="Times New Roman"/>
          <w:sz w:val="22"/>
          <w:lang w:eastAsia="zh-TW"/>
        </w:rPr>
        <w:t>條，將獨立董事之外的其他董事侯選人的股東提名門檻由單獨或者合并持有公司有表決權股份總數的</w:t>
      </w:r>
      <w:r>
        <w:rPr>
          <w:rFonts w:ascii="Times New Roman" w:hAnsi="Times New Roman"/>
          <w:sz w:val="22"/>
          <w:lang w:eastAsia="zh-TW"/>
        </w:rPr>
        <w:t>5%</w:t>
      </w:r>
      <w:r>
        <w:rPr>
          <w:rFonts w:hint="eastAsia" w:ascii="Times New Roman" w:hAnsi="Times New Roman"/>
          <w:sz w:val="22"/>
          <w:lang w:eastAsia="zh-TW"/>
        </w:rPr>
        <w:t>以上進一步降至單獨或者合并持有公司有表決權股份總數的</w:t>
      </w:r>
      <w:r>
        <w:rPr>
          <w:rFonts w:ascii="Times New Roman" w:hAnsi="Times New Roman"/>
          <w:sz w:val="22"/>
          <w:lang w:eastAsia="zh-TW"/>
        </w:rPr>
        <w:t>3%</w:t>
      </w:r>
      <w:r>
        <w:rPr>
          <w:rFonts w:hint="eastAsia" w:ascii="Times New Roman" w:hAnsi="Times New Roman"/>
          <w:sz w:val="22"/>
          <w:lang w:eastAsia="zh-TW"/>
        </w:rPr>
        <w:t>。</w:t>
      </w:r>
    </w:p>
    <w:p>
      <w:pPr>
        <w:pStyle w:val="24"/>
        <w:spacing w:line="320" w:lineRule="exact"/>
        <w:rPr>
          <w:rFonts w:ascii="Times New Roman" w:hAnsi="Times New Roman"/>
          <w:sz w:val="22"/>
          <w:lang w:eastAsia="zh-TW"/>
        </w:rPr>
      </w:pPr>
      <w:r>
        <w:rPr>
          <w:rFonts w:hint="eastAsia" w:ascii="Times New Roman" w:hAnsi="Times New Roman"/>
          <w:sz w:val="22"/>
          <w:lang w:eastAsia="zh-TW"/>
        </w:rPr>
        <w:t>上述對本公司公司章程的建議修改尚須待股東批准並由相關當局批准等方可生效。本公司預期對本公司公司章程的建議修改的全文將隨就建議資本公積金轉增股本所須的對公司章程的建議修改一併披露。載有有關詳情的通函將適時寄發予股東。</w:t>
      </w:r>
    </w:p>
    <w:p>
      <w:pPr>
        <w:pStyle w:val="24"/>
        <w:rPr>
          <w:rFonts w:ascii="Times New Roman" w:hAnsi="Times New Roman"/>
          <w:sz w:val="22"/>
          <w:lang w:eastAsia="zh-TW"/>
        </w:rPr>
      </w:pPr>
    </w:p>
    <w:p>
      <w:pPr>
        <w:pStyle w:val="24"/>
        <w:rPr>
          <w:rFonts w:ascii="Times New Roman" w:hAnsi="Times New Roman"/>
          <w:b/>
          <w:sz w:val="22"/>
          <w:lang w:eastAsia="zh-TW"/>
        </w:rPr>
      </w:pPr>
      <w:r>
        <w:rPr>
          <w:rFonts w:hint="eastAsia" w:ascii="Times New Roman" w:hAnsi="Times New Roman"/>
          <w:b/>
          <w:sz w:val="22"/>
          <w:lang w:eastAsia="zh-TW"/>
        </w:rPr>
        <w:t>審核委員會</w:t>
      </w:r>
    </w:p>
    <w:p>
      <w:pPr>
        <w:pStyle w:val="24"/>
        <w:rPr>
          <w:rFonts w:ascii="Times New Roman" w:hAnsi="Times New Roman"/>
          <w:sz w:val="22"/>
          <w:lang w:eastAsia="zh-TW"/>
        </w:rPr>
      </w:pPr>
      <w:r>
        <w:rPr>
          <w:rFonts w:hint="eastAsia" w:ascii="Times New Roman" w:hAnsi="Times New Roman"/>
          <w:sz w:val="22"/>
          <w:lang w:eastAsia="zh-TW"/>
        </w:rPr>
        <w:t>本公司已經根據《上市規則》第</w:t>
      </w:r>
      <w:r>
        <w:rPr>
          <w:rFonts w:ascii="Times New Roman" w:hAnsi="Times New Roman"/>
          <w:sz w:val="22"/>
          <w:lang w:eastAsia="zh-TW"/>
        </w:rPr>
        <w:t>3.21</w:t>
      </w:r>
      <w:r>
        <w:rPr>
          <w:rFonts w:hint="eastAsia" w:ascii="Times New Roman" w:hAnsi="Times New Roman"/>
          <w:sz w:val="22"/>
          <w:lang w:eastAsia="zh-TW"/>
        </w:rPr>
        <w:t>條設立董事會轄下的審核委員會。</w:t>
      </w:r>
    </w:p>
    <w:p>
      <w:pPr>
        <w:pStyle w:val="24"/>
        <w:spacing w:line="320" w:lineRule="exact"/>
        <w:rPr>
          <w:rFonts w:ascii="Times New Roman" w:hAnsi="Times New Roman"/>
          <w:sz w:val="22"/>
          <w:lang w:eastAsia="zh-TW"/>
        </w:rPr>
      </w:pPr>
      <w:r>
        <w:rPr>
          <w:rFonts w:hint="eastAsia" w:ascii="Times New Roman" w:hAnsi="Times New Roman"/>
          <w:sz w:val="22"/>
          <w:lang w:eastAsia="zh-TW"/>
        </w:rPr>
        <w:t>審核委員會已經與管理層審閱本集團所採納的會計原則、會計準則及方法，並探討審計、內部監控及財務匯報事宜。本年度審核委員會召開四次會議，分別為審閱</w:t>
      </w:r>
      <w:r>
        <w:rPr>
          <w:rFonts w:ascii="Times New Roman" w:hAnsi="Times New Roman"/>
          <w:sz w:val="22"/>
          <w:lang w:eastAsia="zh-TW"/>
        </w:rPr>
        <w:t>2016年度經審計賬目、2017年第一季度未經審計賬目、2017年半年度未審計賬目及2017年第三季度未經審計賬目。</w:t>
      </w:r>
    </w:p>
    <w:p>
      <w:pPr>
        <w:pStyle w:val="24"/>
        <w:spacing w:line="320" w:lineRule="exact"/>
        <w:rPr>
          <w:rFonts w:ascii="Times New Roman" w:hAnsi="Times New Roman"/>
          <w:sz w:val="22"/>
          <w:lang w:eastAsia="zh-TW"/>
        </w:rPr>
      </w:pPr>
      <w:r>
        <w:rPr>
          <w:rFonts w:hint="eastAsia" w:ascii="Times New Roman" w:hAnsi="Times New Roman"/>
          <w:sz w:val="22"/>
          <w:lang w:eastAsia="zh-TW"/>
        </w:rPr>
        <w:t>審核委員會於</w:t>
      </w:r>
      <w:r>
        <w:rPr>
          <w:rFonts w:ascii="Times New Roman" w:hAnsi="Times New Roman"/>
          <w:sz w:val="22"/>
          <w:lang w:eastAsia="zh-TW"/>
        </w:rPr>
        <w:t>2018年3</w:t>
      </w:r>
      <w:r>
        <w:rPr>
          <w:rFonts w:hint="eastAsia" w:ascii="Times New Roman" w:hAnsi="Times New Roman"/>
          <w:sz w:val="22"/>
          <w:lang w:eastAsia="zh-TW"/>
        </w:rPr>
        <w:t>月</w:t>
      </w:r>
      <w:r>
        <w:rPr>
          <w:rFonts w:ascii="Times New Roman" w:hAnsi="Times New Roman"/>
          <w:sz w:val="22"/>
          <w:lang w:eastAsia="zh-TW"/>
        </w:rPr>
        <w:t>23日召開會議，審閱2017年年度審計賬目及業績公告。</w:t>
      </w:r>
    </w:p>
    <w:p>
      <w:pPr>
        <w:pStyle w:val="24"/>
        <w:rPr>
          <w:rFonts w:hint="eastAsia" w:ascii="Times New Roman" w:hAnsi="Times New Roman"/>
          <w:b/>
          <w:sz w:val="24"/>
          <w:szCs w:val="24"/>
          <w:lang w:eastAsia="zh-TW"/>
        </w:rPr>
      </w:pPr>
    </w:p>
    <w:p>
      <w:pPr>
        <w:pStyle w:val="24"/>
        <w:rPr>
          <w:rFonts w:ascii="Times New Roman" w:hAnsi="Times New Roman"/>
          <w:b/>
          <w:sz w:val="24"/>
          <w:szCs w:val="24"/>
          <w:lang w:eastAsia="zh-TW"/>
        </w:rPr>
      </w:pPr>
      <w:r>
        <w:rPr>
          <w:rFonts w:ascii="Times New Roman" w:hAnsi="Times New Roman" w:eastAsia="宋体" w:cs="Times New Roman"/>
          <w:b/>
          <w:kern w:val="0"/>
          <w:sz w:val="24"/>
          <w:szCs w:val="24"/>
          <w:lang w:val="en-US" w:eastAsia="zh-TW" w:bidi="ar-SA"/>
        </w:rPr>
        <w:pict>
          <v:rect id="Text Box 2" o:spid="_x0000_s1027" style="position:absolute;left:0;margin-left:531.2pt;margin-top:672.15pt;height:56.4pt;width:74.2pt;rotation:0f;z-index:251660288;" o:ole="f" fillcolor="#FFFFFF" filled="t" o:preferrelative="t" stroked="t" coordsize="21600,21600">
            <v:stroke color="#FFFFFF" color2="#FFFFFF" miterlimit="2"/>
            <v:imagedata gain="65536f" blacklevel="0f" gamma="0"/>
            <o:lock v:ext="edit" position="f" selection="f" grouping="f" rotation="f" cropping="f" text="f" aspectratio="f"/>
            <v:textbox>
              <w:txbxContent>
                <w:p>
                  <w:pPr>
                    <w:rPr>
                      <w:sz w:val="16"/>
                      <w:szCs w:val="16"/>
                    </w:rPr>
                  </w:pPr>
                  <w:r>
                    <w:rPr>
                      <w:sz w:val="16"/>
                      <w:szCs w:val="16"/>
                    </w:rPr>
                    <w:t xml:space="preserve">App 16 – 45(6) </w:t>
                  </w:r>
                </w:p>
                <w:p>
                  <w:pPr>
                    <w:rPr>
                      <w:sz w:val="16"/>
                      <w:szCs w:val="16"/>
                    </w:rPr>
                  </w:pPr>
                </w:p>
              </w:txbxContent>
            </v:textbox>
          </v:rect>
        </w:pict>
      </w:r>
      <w:r>
        <w:rPr>
          <w:rFonts w:hint="eastAsia" w:ascii="Times New Roman" w:hAnsi="Times New Roman"/>
          <w:b/>
          <w:sz w:val="24"/>
          <w:szCs w:val="24"/>
          <w:lang w:eastAsia="zh-TW"/>
        </w:rPr>
        <w:t>會計政策變更</w:t>
      </w:r>
    </w:p>
    <w:p>
      <w:pPr>
        <w:pStyle w:val="24"/>
        <w:rPr>
          <w:rFonts w:ascii="Times New Roman" w:hAnsi="Times New Roman"/>
          <w:sz w:val="24"/>
          <w:szCs w:val="24"/>
          <w:lang w:eastAsia="zh-TW"/>
        </w:rPr>
      </w:pPr>
      <w:r>
        <w:rPr>
          <w:rFonts w:ascii="Times New Roman" w:hAnsi="Times New Roman" w:eastAsia="宋体" w:cs="Times New Roman"/>
          <w:b/>
          <w:kern w:val="0"/>
          <w:sz w:val="24"/>
          <w:szCs w:val="24"/>
          <w:lang w:val="en-US" w:eastAsia="zh-TW" w:bidi="ar-SA"/>
        </w:rPr>
        <w:pict>
          <v:rect id="Text Box 3" o:spid="_x0000_s1028" style="position:absolute;left:0;margin-left:531.2pt;margin-top:672.15pt;height:56.4pt;width:74.2pt;rotation:0f;z-index:251661312;" o:ole="f" fillcolor="#FFFFFF" filled="t" o:preferrelative="t" stroked="t" coordsize="21600,21600">
            <v:stroke color="#FFFFFF" color2="#FFFFFF" miterlimit="2"/>
            <v:imagedata gain="65536f" blacklevel="0f" gamma="0"/>
            <o:lock v:ext="edit" position="f" selection="f" grouping="f" rotation="f" cropping="f" text="f" aspectratio="f"/>
            <v:textbox>
              <w:txbxContent>
                <w:p>
                  <w:pPr>
                    <w:rPr>
                      <w:sz w:val="16"/>
                      <w:szCs w:val="16"/>
                    </w:rPr>
                  </w:pPr>
                  <w:r>
                    <w:rPr>
                      <w:sz w:val="16"/>
                      <w:szCs w:val="16"/>
                    </w:rPr>
                    <w:t xml:space="preserve">App 16 – 45(6) </w:t>
                  </w:r>
                </w:p>
                <w:p>
                  <w:pPr>
                    <w:rPr>
                      <w:sz w:val="16"/>
                      <w:szCs w:val="16"/>
                    </w:rPr>
                  </w:pPr>
                </w:p>
              </w:txbxContent>
            </v:textbox>
          </v:rect>
        </w:pict>
      </w:r>
    </w:p>
    <w:p>
      <w:pPr>
        <w:pStyle w:val="24"/>
        <w:rPr>
          <w:rFonts w:ascii="Times New Roman" w:hAnsi="Times New Roman"/>
          <w:sz w:val="22"/>
          <w:szCs w:val="22"/>
          <w:lang w:eastAsia="zh-TW"/>
        </w:rPr>
      </w:pPr>
      <w:r>
        <w:rPr>
          <w:rFonts w:hint="eastAsia" w:ascii="Times New Roman" w:hAnsi="Times New Roman"/>
          <w:sz w:val="22"/>
          <w:szCs w:val="22"/>
          <w:lang w:eastAsia="zh-TW"/>
        </w:rPr>
        <w:t>董事會於本公告日期審議並通過以下適用會計政策變更：</w:t>
      </w:r>
    </w:p>
    <w:p>
      <w:pPr>
        <w:pStyle w:val="35"/>
        <w:shd w:val="clear" w:color="auto" w:fill="FFFFFF"/>
        <w:spacing w:beforeLines="100" w:line="360" w:lineRule="exact"/>
        <w:ind w:left="450" w:hanging="450"/>
        <w:rPr>
          <w:rFonts w:cs="宋体"/>
          <w:color w:val="404040"/>
          <w:sz w:val="22"/>
          <w:szCs w:val="22"/>
          <w:shd w:val="clear" w:color="auto" w:fill="FFFFFF"/>
          <w:lang w:eastAsia="zh-TW"/>
        </w:rPr>
      </w:pPr>
      <w:r>
        <w:rPr>
          <w:rFonts w:cs="宋体"/>
          <w:color w:val="404040"/>
          <w:sz w:val="22"/>
          <w:szCs w:val="22"/>
          <w:shd w:val="clear" w:color="auto" w:fill="FFFFFF"/>
          <w:lang w:eastAsia="zh-TW"/>
        </w:rPr>
        <w:t xml:space="preserve">(1) </w:t>
      </w:r>
      <w:r>
        <w:rPr>
          <w:rFonts w:hint="eastAsia" w:cs="宋体"/>
          <w:color w:val="404040"/>
          <w:sz w:val="22"/>
          <w:szCs w:val="22"/>
          <w:shd w:val="clear" w:color="auto" w:fill="FFFFFF"/>
          <w:lang w:eastAsia="zh-TW"/>
        </w:rPr>
        <w:t>由中國財政部所發佈之《企業會計準則第</w:t>
      </w:r>
      <w:r>
        <w:rPr>
          <w:rFonts w:cs="宋体"/>
          <w:color w:val="404040"/>
          <w:sz w:val="22"/>
          <w:szCs w:val="22"/>
          <w:shd w:val="clear" w:color="auto" w:fill="FFFFFF"/>
          <w:lang w:eastAsia="zh-TW"/>
        </w:rPr>
        <w:t>42</w:t>
      </w:r>
      <w:r>
        <w:rPr>
          <w:rFonts w:hint="eastAsia" w:cs="宋体"/>
          <w:color w:val="404040"/>
          <w:sz w:val="22"/>
          <w:szCs w:val="22"/>
          <w:shd w:val="clear" w:color="auto" w:fill="FFFFFF"/>
          <w:lang w:eastAsia="zh-TW"/>
        </w:rPr>
        <w:t>號——持有待售的非流動資產、處置組和終止經營》，對所持有待售的非流動資產、處置組和終止經營，要求採用未來適用法處理。</w:t>
      </w:r>
    </w:p>
    <w:p>
      <w:pPr>
        <w:pStyle w:val="35"/>
        <w:shd w:val="clear" w:color="auto" w:fill="FFFFFF"/>
        <w:spacing w:beforeLines="100" w:line="360" w:lineRule="exact"/>
        <w:ind w:left="450" w:hanging="450"/>
        <w:rPr>
          <w:rFonts w:cs="宋体"/>
          <w:color w:val="404040"/>
          <w:sz w:val="22"/>
          <w:szCs w:val="22"/>
          <w:shd w:val="clear" w:color="auto" w:fill="FFFFFF"/>
          <w:lang w:eastAsia="zh-TW"/>
        </w:rPr>
      </w:pPr>
      <w:r>
        <w:rPr>
          <w:rFonts w:cs="宋体"/>
          <w:color w:val="404040"/>
          <w:sz w:val="22"/>
          <w:szCs w:val="22"/>
          <w:shd w:val="clear" w:color="auto" w:fill="FFFFFF"/>
          <w:lang w:eastAsia="zh-TW"/>
        </w:rPr>
        <w:t xml:space="preserve">(2) </w:t>
      </w:r>
      <w:r>
        <w:rPr>
          <w:rFonts w:hint="eastAsia" w:cs="宋体"/>
          <w:color w:val="404040"/>
          <w:sz w:val="22"/>
          <w:szCs w:val="22"/>
          <w:shd w:val="clear" w:color="auto" w:fill="FFFFFF"/>
          <w:lang w:eastAsia="zh-TW"/>
        </w:rPr>
        <w:t>由中國財政部於</w:t>
      </w:r>
      <w:r>
        <w:rPr>
          <w:rFonts w:cs="宋体"/>
          <w:color w:val="404040"/>
          <w:sz w:val="22"/>
          <w:szCs w:val="22"/>
          <w:shd w:val="clear" w:color="auto" w:fill="FFFFFF"/>
          <w:lang w:eastAsia="zh-TW"/>
        </w:rPr>
        <w:t>2017</w:t>
      </w:r>
      <w:r>
        <w:rPr>
          <w:rFonts w:hint="eastAsia" w:cs="宋体"/>
          <w:color w:val="404040"/>
          <w:sz w:val="22"/>
          <w:szCs w:val="22"/>
          <w:shd w:val="clear" w:color="auto" w:fill="FFFFFF"/>
          <w:lang w:eastAsia="zh-TW"/>
        </w:rPr>
        <w:t>年度修訂之《企業會計準則第</w:t>
      </w:r>
      <w:r>
        <w:rPr>
          <w:rFonts w:cs="宋体"/>
          <w:color w:val="404040"/>
          <w:sz w:val="22"/>
          <w:szCs w:val="22"/>
          <w:shd w:val="clear" w:color="auto" w:fill="FFFFFF"/>
          <w:lang w:eastAsia="zh-TW"/>
        </w:rPr>
        <w:t>16</w:t>
      </w:r>
      <w:r>
        <w:rPr>
          <w:rFonts w:hint="eastAsia" w:cs="宋体"/>
          <w:color w:val="404040"/>
          <w:sz w:val="22"/>
          <w:szCs w:val="22"/>
          <w:shd w:val="clear" w:color="auto" w:fill="FFFFFF"/>
          <w:lang w:eastAsia="zh-TW"/>
        </w:rPr>
        <w:t>號——政府補助》，對政府補助要求採用未來適用法處理。</w:t>
      </w:r>
    </w:p>
    <w:p>
      <w:pPr>
        <w:pStyle w:val="35"/>
        <w:shd w:val="clear" w:color="auto" w:fill="FFFFFF"/>
        <w:spacing w:beforeLines="100" w:line="360" w:lineRule="exact"/>
        <w:ind w:left="450" w:hanging="450"/>
        <w:jc w:val="both"/>
        <w:rPr>
          <w:rFonts w:cs="宋体"/>
          <w:color w:val="404040"/>
          <w:sz w:val="22"/>
          <w:szCs w:val="22"/>
          <w:shd w:val="clear" w:color="auto" w:fill="FFFFFF"/>
          <w:lang w:eastAsia="zh-TW"/>
        </w:rPr>
      </w:pPr>
      <w:r>
        <w:rPr>
          <w:rFonts w:cs="宋体"/>
          <w:color w:val="404040"/>
          <w:sz w:val="22"/>
          <w:szCs w:val="22"/>
          <w:shd w:val="clear" w:color="auto" w:fill="FFFFFF"/>
          <w:lang w:eastAsia="zh-TW"/>
        </w:rPr>
        <w:t xml:space="preserve">(3) </w:t>
      </w:r>
      <w:r>
        <w:rPr>
          <w:rFonts w:hint="eastAsia" w:cs="宋体"/>
          <w:color w:val="404040"/>
          <w:sz w:val="22"/>
          <w:szCs w:val="22"/>
          <w:shd w:val="clear" w:color="auto" w:fill="FFFFFF"/>
          <w:lang w:eastAsia="zh-TW"/>
        </w:rPr>
        <w:t>由中國財政部於</w:t>
      </w:r>
      <w:r>
        <w:rPr>
          <w:rFonts w:cs="宋体"/>
          <w:color w:val="404040"/>
          <w:sz w:val="22"/>
          <w:szCs w:val="22"/>
          <w:shd w:val="clear" w:color="auto" w:fill="FFFFFF"/>
          <w:lang w:eastAsia="zh-TW"/>
        </w:rPr>
        <w:t>2017</w:t>
      </w:r>
      <w:r>
        <w:rPr>
          <w:rFonts w:hint="eastAsia" w:cs="宋体"/>
          <w:color w:val="404040"/>
          <w:sz w:val="22"/>
          <w:szCs w:val="22"/>
          <w:shd w:val="clear" w:color="auto" w:fill="FFFFFF"/>
          <w:lang w:eastAsia="zh-TW"/>
        </w:rPr>
        <w:t>年度發佈之《財政部關於修訂印發一般企業財務報表格式的通知》，對一般企業財務報表格式進行了修訂，適用於</w:t>
      </w:r>
      <w:r>
        <w:rPr>
          <w:rFonts w:cs="宋体"/>
          <w:color w:val="404040"/>
          <w:sz w:val="22"/>
          <w:szCs w:val="22"/>
          <w:shd w:val="clear" w:color="auto" w:fill="FFFFFF"/>
          <w:lang w:eastAsia="zh-TW"/>
        </w:rPr>
        <w:t>2017</w:t>
      </w:r>
      <w:r>
        <w:rPr>
          <w:rFonts w:hint="eastAsia" w:cs="宋体"/>
          <w:color w:val="404040"/>
          <w:sz w:val="22"/>
          <w:szCs w:val="22"/>
          <w:shd w:val="clear" w:color="auto" w:fill="FFFFFF"/>
          <w:lang w:eastAsia="zh-TW"/>
        </w:rPr>
        <w:t>年度及以後期間的財務報表。</w:t>
      </w:r>
    </w:p>
    <w:p>
      <w:pPr>
        <w:pStyle w:val="35"/>
        <w:shd w:val="clear" w:color="auto" w:fill="FFFFFF"/>
        <w:spacing w:beforeLines="100" w:beforeAutospacing="0" w:after="0" w:afterAutospacing="0" w:line="360" w:lineRule="exact"/>
        <w:jc w:val="both"/>
        <w:rPr>
          <w:rFonts w:cs="宋体"/>
          <w:color w:val="404040"/>
          <w:sz w:val="22"/>
          <w:szCs w:val="22"/>
          <w:shd w:val="clear" w:color="auto" w:fill="FFFFFF"/>
          <w:lang w:eastAsia="zh-TW"/>
        </w:rPr>
      </w:pPr>
      <w:r>
        <w:rPr>
          <w:rFonts w:hint="eastAsia" w:cs="宋体"/>
          <w:color w:val="404040"/>
          <w:sz w:val="22"/>
          <w:szCs w:val="22"/>
          <w:shd w:val="clear" w:color="auto" w:fill="FFFFFF"/>
          <w:lang w:eastAsia="zh-TW"/>
        </w:rPr>
        <w:t>根據中國財政部的要求，本公司依據上述各項準則的規定對原會計政策進行相應變更。本次公司會計政策變更屬</w:t>
      </w:r>
      <w:r>
        <w:rPr>
          <w:rFonts w:cs="宋体"/>
          <w:color w:val="404040"/>
          <w:sz w:val="22"/>
          <w:szCs w:val="22"/>
          <w:shd w:val="clear" w:color="auto" w:fill="FFFFFF"/>
          <w:lang w:eastAsia="zh-TW"/>
        </w:rPr>
        <w:t>根據國家統一的會計制度要求變更會計政策</w:t>
      </w:r>
      <w:r>
        <w:rPr>
          <w:rFonts w:hint="eastAsia" w:cs="宋体"/>
          <w:color w:val="404040"/>
          <w:sz w:val="22"/>
          <w:szCs w:val="22"/>
          <w:shd w:val="clear" w:color="auto" w:fill="FFFFFF"/>
          <w:lang w:eastAsia="zh-TW"/>
        </w:rPr>
        <w:t>，並已於本公告所載業績中反映</w:t>
      </w:r>
      <w:r>
        <w:rPr>
          <w:rFonts w:cs="宋体"/>
          <w:color w:val="404040"/>
          <w:sz w:val="22"/>
          <w:szCs w:val="22"/>
          <w:shd w:val="clear" w:color="auto" w:fill="FFFFFF"/>
          <w:lang w:eastAsia="zh-TW"/>
        </w:rPr>
        <w:t>。</w:t>
      </w:r>
    </w:p>
    <w:p>
      <w:pPr>
        <w:pStyle w:val="35"/>
        <w:shd w:val="clear" w:color="auto" w:fill="FFFFFF"/>
        <w:spacing w:beforeLines="100" w:beforeAutospacing="0" w:after="0" w:afterAutospacing="0" w:line="360" w:lineRule="exact"/>
        <w:jc w:val="both"/>
        <w:rPr>
          <w:rFonts w:cs="宋体"/>
          <w:color w:val="404040"/>
          <w:sz w:val="22"/>
          <w:szCs w:val="22"/>
          <w:shd w:val="clear" w:color="auto" w:fill="FFFFFF"/>
          <w:lang w:eastAsia="zh-TW"/>
        </w:rPr>
      </w:pPr>
      <w:r>
        <w:rPr>
          <w:rFonts w:hint="eastAsia" w:cs="宋体"/>
          <w:color w:val="404040"/>
          <w:sz w:val="22"/>
          <w:szCs w:val="22"/>
          <w:shd w:val="clear" w:color="auto" w:fill="FFFFFF"/>
          <w:lang w:eastAsia="zh-TW"/>
        </w:rPr>
        <w:t>本次會計政策變更的內容及對本公司的影響如下：</w:t>
      </w:r>
    </w:p>
    <w:p>
      <w:pPr>
        <w:pStyle w:val="35"/>
        <w:shd w:val="clear" w:color="auto" w:fill="FFFFFF"/>
        <w:spacing w:beforeLines="100" w:beforeAutospacing="0" w:after="0" w:afterAutospacing="0" w:line="360" w:lineRule="exact"/>
        <w:ind w:left="450" w:hanging="450"/>
        <w:jc w:val="both"/>
        <w:rPr>
          <w:rFonts w:cs="宋体"/>
          <w:color w:val="404040"/>
          <w:sz w:val="22"/>
          <w:szCs w:val="22"/>
          <w:shd w:val="clear" w:color="auto" w:fill="FFFFFF"/>
          <w:lang w:eastAsia="zh-TW"/>
        </w:rPr>
      </w:pPr>
      <w:r>
        <w:rPr>
          <w:rFonts w:cs="宋体"/>
          <w:color w:val="404040"/>
          <w:sz w:val="22"/>
          <w:szCs w:val="22"/>
          <w:shd w:val="clear" w:color="auto" w:fill="FFFFFF"/>
          <w:lang w:eastAsia="zh-TW"/>
        </w:rPr>
        <w:t xml:space="preserve">(1) </w:t>
      </w:r>
      <w:r>
        <w:rPr>
          <w:rFonts w:hint="eastAsia" w:cs="宋体"/>
          <w:color w:val="404040"/>
          <w:sz w:val="22"/>
          <w:szCs w:val="22"/>
          <w:shd w:val="clear" w:color="auto" w:fill="FFFFFF"/>
          <w:lang w:eastAsia="zh-TW"/>
        </w:rPr>
        <w:t>在本公司利潤表中新增“資產處置收益”項目，將部分原列示為“營業外收入”及“營業外支出”的資產處置損益重分類至“資產處置收益”項目。比較數據相應調整。資產處置收益上年發生額增加</w:t>
      </w:r>
      <w:r>
        <w:rPr>
          <w:rFonts w:cs="宋体"/>
          <w:color w:val="404040"/>
          <w:sz w:val="22"/>
          <w:szCs w:val="22"/>
          <w:shd w:val="clear" w:color="auto" w:fill="FFFFFF"/>
          <w:lang w:eastAsia="zh-TW"/>
        </w:rPr>
        <w:t>5,250,916.35</w:t>
      </w:r>
      <w:r>
        <w:rPr>
          <w:rFonts w:hint="eastAsia" w:cs="宋体"/>
          <w:color w:val="404040"/>
          <w:sz w:val="22"/>
          <w:szCs w:val="22"/>
          <w:shd w:val="clear" w:color="auto" w:fill="FFFFFF"/>
          <w:lang w:eastAsia="zh-TW"/>
        </w:rPr>
        <w:t>元，營業外收入相應減少</w:t>
      </w:r>
      <w:r>
        <w:rPr>
          <w:rFonts w:cs="宋体"/>
          <w:color w:val="404040"/>
          <w:sz w:val="22"/>
          <w:szCs w:val="22"/>
          <w:shd w:val="clear" w:color="auto" w:fill="FFFFFF"/>
          <w:lang w:eastAsia="zh-TW"/>
        </w:rPr>
        <w:t>5,836,722.36</w:t>
      </w:r>
      <w:r>
        <w:rPr>
          <w:rFonts w:hint="eastAsia" w:cs="宋体"/>
          <w:color w:val="404040"/>
          <w:sz w:val="22"/>
          <w:szCs w:val="22"/>
          <w:shd w:val="clear" w:color="auto" w:fill="FFFFFF"/>
          <w:lang w:eastAsia="zh-TW"/>
        </w:rPr>
        <w:t>元，營業外支出相應減少</w:t>
      </w:r>
      <w:r>
        <w:rPr>
          <w:rFonts w:cs="宋体"/>
          <w:color w:val="404040"/>
          <w:sz w:val="22"/>
          <w:szCs w:val="22"/>
          <w:shd w:val="clear" w:color="auto" w:fill="FFFFFF"/>
          <w:lang w:eastAsia="zh-TW"/>
        </w:rPr>
        <w:t>585,806.01</w:t>
      </w:r>
      <w:r>
        <w:rPr>
          <w:rFonts w:hint="eastAsia" w:cs="宋体"/>
          <w:color w:val="404040"/>
          <w:sz w:val="22"/>
          <w:szCs w:val="22"/>
          <w:shd w:val="clear" w:color="auto" w:fill="FFFFFF"/>
          <w:lang w:eastAsia="zh-TW"/>
        </w:rPr>
        <w:t>元；資產處置收益本年發生額增加</w:t>
      </w:r>
      <w:r>
        <w:rPr>
          <w:rFonts w:cs="宋体"/>
          <w:color w:val="404040"/>
          <w:sz w:val="22"/>
          <w:szCs w:val="22"/>
          <w:shd w:val="clear" w:color="auto" w:fill="FFFFFF"/>
          <w:lang w:eastAsia="zh-TW"/>
        </w:rPr>
        <w:t>46,047,264.22</w:t>
      </w:r>
      <w:r>
        <w:rPr>
          <w:rFonts w:hint="eastAsia" w:cs="宋体"/>
          <w:color w:val="404040"/>
          <w:sz w:val="22"/>
          <w:szCs w:val="22"/>
          <w:shd w:val="clear" w:color="auto" w:fill="FFFFFF"/>
          <w:lang w:eastAsia="zh-TW"/>
        </w:rPr>
        <w:t>元，營業外收入相應減少</w:t>
      </w:r>
      <w:r>
        <w:rPr>
          <w:rFonts w:cs="宋体"/>
          <w:color w:val="404040"/>
          <w:sz w:val="22"/>
          <w:szCs w:val="22"/>
          <w:shd w:val="clear" w:color="auto" w:fill="FFFFFF"/>
          <w:lang w:eastAsia="zh-TW"/>
        </w:rPr>
        <w:t>46,461,596.34</w:t>
      </w:r>
      <w:r>
        <w:rPr>
          <w:rFonts w:hint="eastAsia" w:cs="宋体"/>
          <w:color w:val="404040"/>
          <w:sz w:val="22"/>
          <w:szCs w:val="22"/>
          <w:shd w:val="clear" w:color="auto" w:fill="FFFFFF"/>
          <w:lang w:eastAsia="zh-TW"/>
        </w:rPr>
        <w:t>元，營業外支出相應減少</w:t>
      </w:r>
      <w:r>
        <w:rPr>
          <w:rFonts w:cs="宋体"/>
          <w:color w:val="404040"/>
          <w:sz w:val="22"/>
          <w:szCs w:val="22"/>
          <w:shd w:val="clear" w:color="auto" w:fill="FFFFFF"/>
          <w:lang w:eastAsia="zh-TW"/>
        </w:rPr>
        <w:t>414,332.12</w:t>
      </w:r>
      <w:r>
        <w:rPr>
          <w:rFonts w:hint="eastAsia" w:cs="宋体"/>
          <w:color w:val="404040"/>
          <w:sz w:val="22"/>
          <w:szCs w:val="22"/>
          <w:shd w:val="clear" w:color="auto" w:fill="FFFFFF"/>
          <w:lang w:eastAsia="zh-TW"/>
        </w:rPr>
        <w:t>元。</w:t>
      </w:r>
    </w:p>
    <w:p>
      <w:pPr>
        <w:pStyle w:val="35"/>
        <w:shd w:val="clear" w:color="auto" w:fill="FFFFFF"/>
        <w:spacing w:beforeLines="100" w:beforeAutospacing="0" w:after="0" w:afterAutospacing="0" w:line="360" w:lineRule="exact"/>
        <w:ind w:left="450" w:hanging="450"/>
        <w:jc w:val="both"/>
        <w:rPr>
          <w:rFonts w:cs="宋体"/>
          <w:color w:val="404040"/>
          <w:sz w:val="22"/>
          <w:szCs w:val="22"/>
          <w:shd w:val="clear" w:color="auto" w:fill="FFFFFF"/>
          <w:lang w:eastAsia="zh-TW"/>
        </w:rPr>
      </w:pPr>
      <w:r>
        <w:rPr>
          <w:rFonts w:cs="宋体"/>
          <w:color w:val="404040"/>
          <w:sz w:val="22"/>
          <w:szCs w:val="22"/>
          <w:shd w:val="clear" w:color="auto" w:fill="FFFFFF"/>
          <w:lang w:eastAsia="zh-TW"/>
        </w:rPr>
        <w:t>(2)</w:t>
      </w:r>
      <w:r>
        <w:rPr>
          <w:rFonts w:hint="eastAsia" w:cs="宋体"/>
          <w:color w:val="404040"/>
          <w:sz w:val="22"/>
          <w:szCs w:val="22"/>
          <w:shd w:val="clear" w:color="auto" w:fill="FFFFFF"/>
          <w:lang w:eastAsia="zh-TW"/>
        </w:rPr>
        <w:tab/>
      </w:r>
      <w:r>
        <w:rPr>
          <w:rFonts w:hint="eastAsia" w:cs="宋体"/>
          <w:color w:val="404040"/>
          <w:sz w:val="22"/>
          <w:szCs w:val="22"/>
          <w:shd w:val="clear" w:color="auto" w:fill="FFFFFF"/>
          <w:lang w:eastAsia="zh-TW"/>
        </w:rPr>
        <w:t>與資產相關的政府補助計入遞延收益，在資產使用壽命內分期計入其他收益；與本公司日常活動相關的政府補助，計入其他收益，不再計入營業外收入。其他收益本年發生額增加</w:t>
      </w:r>
      <w:r>
        <w:rPr>
          <w:rFonts w:cs="宋体"/>
          <w:color w:val="404040"/>
          <w:sz w:val="22"/>
          <w:szCs w:val="22"/>
          <w:shd w:val="clear" w:color="auto" w:fill="FFFFFF"/>
          <w:lang w:eastAsia="zh-TW"/>
        </w:rPr>
        <w:t>12,508,306.00</w:t>
      </w:r>
      <w:r>
        <w:rPr>
          <w:rFonts w:hint="eastAsia" w:cs="宋体"/>
          <w:color w:val="404040"/>
          <w:sz w:val="22"/>
          <w:szCs w:val="22"/>
          <w:shd w:val="clear" w:color="auto" w:fill="FFFFFF"/>
          <w:lang w:eastAsia="zh-TW"/>
        </w:rPr>
        <w:t>元，營業外收入相應減少</w:t>
      </w:r>
      <w:r>
        <w:rPr>
          <w:rFonts w:cs="宋体"/>
          <w:color w:val="404040"/>
          <w:sz w:val="22"/>
          <w:szCs w:val="22"/>
          <w:shd w:val="clear" w:color="auto" w:fill="FFFFFF"/>
          <w:lang w:eastAsia="zh-TW"/>
        </w:rPr>
        <w:t>12,508,306.00</w:t>
      </w:r>
      <w:r>
        <w:rPr>
          <w:rFonts w:hint="eastAsia" w:cs="宋体"/>
          <w:color w:val="404040"/>
          <w:sz w:val="22"/>
          <w:szCs w:val="22"/>
          <w:shd w:val="clear" w:color="auto" w:fill="FFFFFF"/>
          <w:lang w:eastAsia="zh-TW"/>
        </w:rPr>
        <w:t>元。</w:t>
      </w:r>
    </w:p>
    <w:p>
      <w:pPr>
        <w:pStyle w:val="35"/>
        <w:shd w:val="clear" w:color="auto" w:fill="FFFFFF"/>
        <w:spacing w:beforeLines="100" w:beforeAutospacing="0" w:after="0" w:afterAutospacing="0" w:line="360" w:lineRule="exact"/>
        <w:ind w:left="450" w:hanging="450"/>
        <w:jc w:val="both"/>
        <w:rPr>
          <w:rFonts w:cs="宋体"/>
          <w:color w:val="404040"/>
          <w:sz w:val="22"/>
          <w:szCs w:val="22"/>
          <w:shd w:val="clear" w:color="auto" w:fill="FFFFFF"/>
          <w:lang w:eastAsia="zh-TW"/>
        </w:rPr>
      </w:pPr>
      <w:r>
        <w:rPr>
          <w:rFonts w:cs="宋体"/>
          <w:color w:val="404040"/>
          <w:sz w:val="22"/>
          <w:szCs w:val="22"/>
          <w:shd w:val="clear" w:color="auto" w:fill="FFFFFF"/>
          <w:lang w:eastAsia="zh-TW"/>
        </w:rPr>
        <w:t>(3)</w:t>
      </w:r>
      <w:r>
        <w:rPr>
          <w:rFonts w:cs="宋体"/>
          <w:color w:val="404040"/>
          <w:sz w:val="22"/>
          <w:szCs w:val="22"/>
          <w:shd w:val="clear" w:color="auto" w:fill="FFFFFF"/>
          <w:lang w:eastAsia="zh-TW"/>
        </w:rPr>
        <w:tab/>
      </w:r>
      <w:r>
        <w:rPr>
          <w:rFonts w:hint="eastAsia" w:cs="宋体"/>
          <w:color w:val="404040"/>
          <w:sz w:val="22"/>
          <w:szCs w:val="22"/>
          <w:shd w:val="clear" w:color="auto" w:fill="FFFFFF"/>
          <w:lang w:eastAsia="zh-TW"/>
        </w:rPr>
        <w:t>在本公司利潤表中分別列示持續經營利潤和終止經營利潤，比較數據相應調整。持續經營利潤上年發生額</w:t>
      </w:r>
      <w:r>
        <w:rPr>
          <w:rFonts w:cs="宋体"/>
          <w:color w:val="404040"/>
          <w:sz w:val="22"/>
          <w:szCs w:val="22"/>
          <w:shd w:val="clear" w:color="auto" w:fill="FFFFFF"/>
          <w:lang w:eastAsia="zh-TW"/>
        </w:rPr>
        <w:t>133,047,273.87</w:t>
      </w:r>
      <w:r>
        <w:rPr>
          <w:rFonts w:hint="eastAsia" w:cs="宋体"/>
          <w:color w:val="404040"/>
          <w:sz w:val="22"/>
          <w:szCs w:val="22"/>
          <w:shd w:val="clear" w:color="auto" w:fill="FFFFFF"/>
          <w:lang w:eastAsia="zh-TW"/>
        </w:rPr>
        <w:t>元，本年發生額</w:t>
      </w:r>
      <w:r>
        <w:rPr>
          <w:rFonts w:cs="宋体"/>
          <w:color w:val="404040"/>
          <w:sz w:val="22"/>
          <w:szCs w:val="22"/>
          <w:shd w:val="clear" w:color="auto" w:fill="FFFFFF"/>
          <w:lang w:eastAsia="zh-TW"/>
        </w:rPr>
        <w:t>221,248,751.89</w:t>
      </w:r>
      <w:r>
        <w:rPr>
          <w:rFonts w:hint="eastAsia" w:cs="宋体"/>
          <w:color w:val="404040"/>
          <w:sz w:val="22"/>
          <w:szCs w:val="22"/>
          <w:shd w:val="clear" w:color="auto" w:fill="FFFFFF"/>
          <w:lang w:eastAsia="zh-TW"/>
        </w:rPr>
        <w:t>元；終止經營利潤上年和本年發生額均無影響。</w:t>
      </w:r>
    </w:p>
    <w:p>
      <w:pPr>
        <w:pStyle w:val="35"/>
        <w:shd w:val="clear" w:color="auto" w:fill="FFFFFF"/>
        <w:spacing w:beforeLines="100" w:beforeAutospacing="0" w:after="0" w:afterAutospacing="0" w:line="360" w:lineRule="exact"/>
        <w:ind w:left="450" w:hanging="450"/>
        <w:jc w:val="both"/>
        <w:rPr>
          <w:rFonts w:cs="宋体"/>
          <w:color w:val="404040"/>
          <w:sz w:val="22"/>
          <w:szCs w:val="22"/>
          <w:shd w:val="clear" w:color="auto" w:fill="FFFFFF"/>
          <w:lang w:eastAsia="zh-TW"/>
        </w:rPr>
      </w:pPr>
    </w:p>
    <w:p>
      <w:pPr>
        <w:pStyle w:val="24"/>
        <w:rPr>
          <w:rFonts w:hAnsi="宋体"/>
          <w:b/>
          <w:sz w:val="22"/>
          <w:szCs w:val="22"/>
          <w:lang w:eastAsia="zh-TW"/>
        </w:rPr>
      </w:pPr>
      <w:r>
        <w:rPr>
          <w:rFonts w:hint="eastAsia" w:hAnsi="宋体" w:cs="宋体"/>
          <w:color w:val="404040"/>
          <w:sz w:val="22"/>
          <w:szCs w:val="22"/>
          <w:shd w:val="clear" w:color="auto" w:fill="FFFFFF"/>
          <w:lang w:eastAsia="zh-TW"/>
        </w:rPr>
        <w:t>本次會計政策變更對本公司財務及經營狀況和現金流量無重大影響。</w:t>
      </w:r>
    </w:p>
    <w:p>
      <w:pPr>
        <w:pStyle w:val="24"/>
        <w:rPr>
          <w:rFonts w:ascii="Times New Roman" w:hAnsi="Times New Roman"/>
          <w:sz w:val="22"/>
          <w:lang w:eastAsia="zh-TW"/>
        </w:rPr>
      </w:pPr>
    </w:p>
    <w:p>
      <w:pPr>
        <w:pStyle w:val="24"/>
        <w:rPr>
          <w:rFonts w:ascii="Times New Roman" w:hAnsi="Times New Roman"/>
          <w:b/>
          <w:sz w:val="22"/>
          <w:lang w:eastAsia="zh-TW"/>
        </w:rPr>
      </w:pPr>
      <w:r>
        <w:rPr>
          <w:rFonts w:ascii="Times New Roman" w:hAnsi="Times New Roman"/>
          <w:sz w:val="22"/>
          <w:lang w:eastAsia="zh-TW"/>
        </w:rPr>
        <w:br w:type="page"/>
      </w:r>
      <w:r>
        <w:rPr>
          <w:rFonts w:hint="eastAsia" w:ascii="Times New Roman" w:hAnsi="Times New Roman"/>
          <w:b/>
          <w:sz w:val="22"/>
          <w:lang w:eastAsia="zh-TW"/>
        </w:rPr>
        <w:t>十、按《中國企業會計準則》編制的財務報告</w:t>
      </w:r>
    </w:p>
    <w:p>
      <w:pPr>
        <w:pStyle w:val="24"/>
        <w:jc w:val="center"/>
        <w:rPr>
          <w:rFonts w:ascii="Times New Roman" w:hAnsi="Times New Roman"/>
          <w:b/>
          <w:sz w:val="22"/>
          <w:lang w:eastAsia="zh-TW"/>
        </w:rPr>
      </w:pPr>
      <w:r>
        <w:rPr>
          <w:rFonts w:hint="eastAsia" w:ascii="Times New Roman" w:hAnsi="Times New Roman"/>
          <w:b/>
          <w:sz w:val="22"/>
          <w:lang w:eastAsia="zh-TW"/>
        </w:rPr>
        <w:t>合併資產負債表（經審計）</w:t>
      </w:r>
    </w:p>
    <w:p>
      <w:pPr>
        <w:jc w:val="center"/>
        <w:rPr>
          <w:b/>
          <w:sz w:val="22"/>
        </w:rPr>
      </w:pPr>
      <w:r>
        <w:rPr>
          <w:b/>
          <w:sz w:val="22"/>
          <w:lang w:eastAsia="zh-TW"/>
        </w:rPr>
        <w:t xml:space="preserve">                                             </w:t>
      </w:r>
      <w:r>
        <w:rPr>
          <w:rFonts w:hint="eastAsia"/>
          <w:sz w:val="20"/>
        </w:rPr>
        <w:t>單位</w:t>
      </w:r>
      <w:r>
        <w:rPr>
          <w:sz w:val="20"/>
        </w:rPr>
        <w:t xml:space="preserve"> : </w:t>
      </w:r>
      <w:r>
        <w:rPr>
          <w:rFonts w:hint="eastAsia"/>
          <w:sz w:val="20"/>
        </w:rPr>
        <w:t>人民幣元</w:t>
      </w:r>
    </w:p>
    <w:tbl>
      <w:tblPr>
        <w:tblW w:w="7938" w:type="dxa"/>
        <w:tblInd w:w="3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693"/>
        <w:gridCol w:w="567"/>
        <w:gridCol w:w="2410"/>
        <w:gridCol w:w="2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70" w:hRule="atLeast"/>
        </w:trPr>
        <w:tc>
          <w:tcPr>
            <w:tcW w:w="2693" w:type="dxa"/>
            <w:tcBorders>
              <w:top w:val="nil"/>
              <w:left w:val="nil"/>
              <w:bottom w:val="nil"/>
              <w:right w:val="nil"/>
            </w:tcBorders>
            <w:vAlign w:val="center"/>
          </w:tcPr>
          <w:p>
            <w:pPr>
              <w:widowControl/>
              <w:ind w:left="333" w:hanging="333" w:hangingChars="166"/>
              <w:jc w:val="center"/>
              <w:rPr>
                <w:b/>
                <w:kern w:val="0"/>
                <w:sz w:val="20"/>
              </w:rPr>
            </w:pPr>
            <w:r>
              <w:rPr>
                <w:rFonts w:hint="eastAsia"/>
                <w:b/>
                <w:kern w:val="0"/>
                <w:sz w:val="20"/>
              </w:rPr>
              <w:t>資產</w:t>
            </w:r>
          </w:p>
        </w:tc>
        <w:tc>
          <w:tcPr>
            <w:tcW w:w="567" w:type="dxa"/>
            <w:tcBorders>
              <w:top w:val="nil"/>
              <w:left w:val="nil"/>
              <w:bottom w:val="nil"/>
              <w:right w:val="nil"/>
            </w:tcBorders>
            <w:vAlign w:val="center"/>
          </w:tcPr>
          <w:p>
            <w:pPr>
              <w:widowControl/>
              <w:jc w:val="center"/>
              <w:rPr>
                <w:b/>
                <w:kern w:val="0"/>
                <w:sz w:val="20"/>
              </w:rPr>
            </w:pPr>
            <w:r>
              <w:rPr>
                <w:rFonts w:hint="eastAsia"/>
                <w:b/>
                <w:kern w:val="0"/>
                <w:sz w:val="20"/>
              </w:rPr>
              <w:t>附注</w:t>
            </w:r>
          </w:p>
        </w:tc>
        <w:tc>
          <w:tcPr>
            <w:tcW w:w="2410" w:type="dxa"/>
            <w:tcBorders>
              <w:top w:val="nil"/>
              <w:left w:val="nil"/>
              <w:bottom w:val="nil"/>
              <w:right w:val="nil"/>
            </w:tcBorders>
            <w:vAlign w:val="center"/>
          </w:tcPr>
          <w:p>
            <w:pPr>
              <w:widowControl/>
              <w:jc w:val="center"/>
              <w:rPr>
                <w:b/>
                <w:kern w:val="0"/>
                <w:sz w:val="20"/>
              </w:rPr>
            </w:pPr>
            <w:r>
              <w:rPr>
                <w:b/>
                <w:kern w:val="0"/>
                <w:sz w:val="20"/>
              </w:rPr>
              <w:t>2017</w:t>
            </w:r>
            <w:r>
              <w:rPr>
                <w:rFonts w:hint="eastAsia"/>
                <w:b/>
                <w:kern w:val="0"/>
                <w:sz w:val="20"/>
              </w:rPr>
              <w:t>年</w:t>
            </w:r>
            <w:r>
              <w:rPr>
                <w:b/>
                <w:kern w:val="0"/>
                <w:sz w:val="20"/>
              </w:rPr>
              <w:t>12月31日</w:t>
            </w:r>
          </w:p>
        </w:tc>
        <w:tc>
          <w:tcPr>
            <w:tcW w:w="2268" w:type="dxa"/>
            <w:tcBorders>
              <w:top w:val="nil"/>
              <w:left w:val="nil"/>
              <w:bottom w:val="nil"/>
              <w:right w:val="nil"/>
            </w:tcBorders>
            <w:vAlign w:val="center"/>
          </w:tcPr>
          <w:p>
            <w:pPr>
              <w:widowControl/>
              <w:jc w:val="center"/>
              <w:rPr>
                <w:b/>
                <w:kern w:val="0"/>
                <w:sz w:val="20"/>
              </w:rPr>
            </w:pPr>
            <w:r>
              <w:rPr>
                <w:b/>
                <w:kern w:val="0"/>
                <w:sz w:val="20"/>
              </w:rPr>
              <w:t>2016年12月31日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2693" w:type="dxa"/>
            <w:tcBorders>
              <w:top w:val="nil"/>
              <w:left w:val="nil"/>
              <w:bottom w:val="nil"/>
              <w:right w:val="nil"/>
            </w:tcBorders>
            <w:vAlign w:val="center"/>
          </w:tcPr>
          <w:p>
            <w:pPr>
              <w:widowControl/>
              <w:rPr>
                <w:kern w:val="0"/>
                <w:sz w:val="20"/>
              </w:rPr>
            </w:pPr>
            <w:r>
              <w:rPr>
                <w:rFonts w:hint="eastAsia"/>
                <w:kern w:val="0"/>
                <w:sz w:val="20"/>
              </w:rPr>
              <w:t>流動資產：</w:t>
            </w:r>
          </w:p>
        </w:tc>
        <w:tc>
          <w:tcPr>
            <w:tcW w:w="567" w:type="dxa"/>
            <w:tcBorders>
              <w:top w:val="nil"/>
              <w:left w:val="nil"/>
              <w:bottom w:val="nil"/>
              <w:right w:val="nil"/>
            </w:tcBorders>
            <w:vAlign w:val="center"/>
          </w:tcPr>
          <w:p>
            <w:pPr>
              <w:widowControl/>
              <w:jc w:val="center"/>
              <w:rPr>
                <w:kern w:val="0"/>
                <w:sz w:val="18"/>
              </w:rPr>
            </w:pPr>
          </w:p>
        </w:tc>
        <w:tc>
          <w:tcPr>
            <w:tcW w:w="2410" w:type="dxa"/>
            <w:tcBorders>
              <w:top w:val="nil"/>
              <w:left w:val="nil"/>
              <w:bottom w:val="nil"/>
              <w:right w:val="nil"/>
            </w:tcBorders>
            <w:vAlign w:val="center"/>
          </w:tcPr>
          <w:p>
            <w:pPr>
              <w:widowControl/>
              <w:jc w:val="right"/>
              <w:rPr>
                <w:kern w:val="0"/>
                <w:sz w:val="20"/>
              </w:rPr>
            </w:pPr>
          </w:p>
        </w:tc>
        <w:tc>
          <w:tcPr>
            <w:tcW w:w="2268" w:type="dxa"/>
            <w:tcBorders>
              <w:top w:val="nil"/>
              <w:left w:val="nil"/>
              <w:bottom w:val="nil"/>
              <w:right w:val="nil"/>
            </w:tcBorders>
            <w:vAlign w:val="center"/>
          </w:tcPr>
          <w:p>
            <w:pPr>
              <w:widowControl/>
              <w:jc w:val="right"/>
              <w:rPr>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2693" w:type="dxa"/>
            <w:tcBorders>
              <w:top w:val="nil"/>
              <w:left w:val="nil"/>
              <w:bottom w:val="nil"/>
              <w:right w:val="nil"/>
            </w:tcBorders>
            <w:vAlign w:val="bottom"/>
          </w:tcPr>
          <w:p>
            <w:pPr>
              <w:widowControl/>
              <w:rPr>
                <w:kern w:val="0"/>
                <w:sz w:val="20"/>
              </w:rPr>
            </w:pPr>
            <w:r>
              <w:rPr>
                <w:rFonts w:hint="eastAsia"/>
                <w:kern w:val="0"/>
                <w:sz w:val="20"/>
              </w:rPr>
              <w:t>貨幣資金</w:t>
            </w:r>
          </w:p>
        </w:tc>
        <w:tc>
          <w:tcPr>
            <w:tcW w:w="567" w:type="dxa"/>
            <w:tcBorders>
              <w:top w:val="nil"/>
              <w:left w:val="nil"/>
              <w:bottom w:val="nil"/>
              <w:right w:val="nil"/>
            </w:tcBorders>
            <w:vAlign w:val="bottom"/>
          </w:tcPr>
          <w:p>
            <w:pPr>
              <w:widowControl/>
              <w:jc w:val="center"/>
              <w:rPr>
                <w:kern w:val="0"/>
                <w:sz w:val="18"/>
              </w:rPr>
            </w:pPr>
          </w:p>
        </w:tc>
        <w:tc>
          <w:tcPr>
            <w:tcW w:w="2410" w:type="dxa"/>
            <w:tcBorders>
              <w:top w:val="nil"/>
              <w:left w:val="nil"/>
              <w:bottom w:val="nil"/>
              <w:right w:val="nil"/>
            </w:tcBorders>
            <w:vAlign w:val="bottom"/>
          </w:tcPr>
          <w:p>
            <w:pPr>
              <w:widowControl/>
              <w:jc w:val="right"/>
              <w:rPr>
                <w:kern w:val="0"/>
                <w:sz w:val="20"/>
              </w:rPr>
            </w:pPr>
            <w:r>
              <w:rPr>
                <w:kern w:val="0"/>
                <w:sz w:val="20"/>
              </w:rPr>
              <w:t xml:space="preserve">731,126,274.34 </w:t>
            </w:r>
          </w:p>
        </w:tc>
        <w:tc>
          <w:tcPr>
            <w:tcW w:w="2268" w:type="dxa"/>
            <w:tcBorders>
              <w:top w:val="nil"/>
              <w:left w:val="nil"/>
              <w:bottom w:val="nil"/>
              <w:right w:val="nil"/>
            </w:tcBorders>
            <w:vAlign w:val="bottom"/>
          </w:tcPr>
          <w:p>
            <w:pPr>
              <w:widowControl/>
              <w:jc w:val="right"/>
              <w:rPr>
                <w:kern w:val="0"/>
                <w:sz w:val="20"/>
              </w:rPr>
            </w:pPr>
            <w:r>
              <w:rPr>
                <w:kern w:val="0"/>
                <w:sz w:val="20"/>
              </w:rPr>
              <w:t>561,331,585.33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2693" w:type="dxa"/>
            <w:tcBorders>
              <w:top w:val="nil"/>
              <w:left w:val="nil"/>
              <w:bottom w:val="nil"/>
              <w:right w:val="nil"/>
            </w:tcBorders>
            <w:vAlign w:val="bottom"/>
          </w:tcPr>
          <w:p>
            <w:pPr>
              <w:widowControl/>
              <w:rPr>
                <w:kern w:val="0"/>
                <w:sz w:val="20"/>
              </w:rPr>
            </w:pPr>
            <w:r>
              <w:rPr>
                <w:rFonts w:hint="eastAsia"/>
                <w:kern w:val="0"/>
                <w:sz w:val="20"/>
              </w:rPr>
              <w:t>應收票據</w:t>
            </w:r>
          </w:p>
        </w:tc>
        <w:tc>
          <w:tcPr>
            <w:tcW w:w="567" w:type="dxa"/>
            <w:tcBorders>
              <w:top w:val="nil"/>
              <w:left w:val="nil"/>
              <w:bottom w:val="nil"/>
              <w:right w:val="nil"/>
            </w:tcBorders>
            <w:vAlign w:val="bottom"/>
          </w:tcPr>
          <w:p>
            <w:pPr>
              <w:widowControl/>
              <w:jc w:val="left"/>
              <w:rPr>
                <w:kern w:val="0"/>
                <w:sz w:val="18"/>
              </w:rPr>
            </w:pPr>
          </w:p>
        </w:tc>
        <w:tc>
          <w:tcPr>
            <w:tcW w:w="2410" w:type="dxa"/>
            <w:tcBorders>
              <w:top w:val="nil"/>
              <w:left w:val="nil"/>
              <w:bottom w:val="nil"/>
              <w:right w:val="nil"/>
            </w:tcBorders>
            <w:vAlign w:val="bottom"/>
          </w:tcPr>
          <w:p>
            <w:pPr>
              <w:widowControl/>
              <w:jc w:val="right"/>
              <w:rPr>
                <w:kern w:val="0"/>
                <w:sz w:val="20"/>
              </w:rPr>
            </w:pPr>
            <w:r>
              <w:rPr>
                <w:kern w:val="0"/>
                <w:sz w:val="20"/>
              </w:rPr>
              <w:t xml:space="preserve">123,254,824.94 </w:t>
            </w:r>
          </w:p>
        </w:tc>
        <w:tc>
          <w:tcPr>
            <w:tcW w:w="2268" w:type="dxa"/>
            <w:tcBorders>
              <w:top w:val="nil"/>
              <w:left w:val="nil"/>
              <w:bottom w:val="nil"/>
              <w:right w:val="nil"/>
            </w:tcBorders>
            <w:vAlign w:val="bottom"/>
          </w:tcPr>
          <w:p>
            <w:pPr>
              <w:widowControl/>
              <w:jc w:val="right"/>
              <w:rPr>
                <w:kern w:val="0"/>
                <w:sz w:val="20"/>
              </w:rPr>
            </w:pPr>
            <w:r>
              <w:rPr>
                <w:kern w:val="0"/>
                <w:sz w:val="20"/>
              </w:rPr>
              <w:t>107,005,175.90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5" w:hRule="atLeast"/>
        </w:trPr>
        <w:tc>
          <w:tcPr>
            <w:tcW w:w="2693" w:type="dxa"/>
            <w:tcBorders>
              <w:top w:val="nil"/>
              <w:left w:val="nil"/>
              <w:bottom w:val="nil"/>
              <w:right w:val="nil"/>
            </w:tcBorders>
            <w:vAlign w:val="bottom"/>
          </w:tcPr>
          <w:p>
            <w:pPr>
              <w:widowControl/>
              <w:rPr>
                <w:kern w:val="0"/>
                <w:sz w:val="20"/>
              </w:rPr>
            </w:pPr>
            <w:r>
              <w:rPr>
                <w:rFonts w:hint="eastAsia"/>
                <w:kern w:val="0"/>
                <w:sz w:val="20"/>
              </w:rPr>
              <w:t>應收賬款</w:t>
            </w:r>
          </w:p>
        </w:tc>
        <w:tc>
          <w:tcPr>
            <w:tcW w:w="567" w:type="dxa"/>
            <w:tcBorders>
              <w:top w:val="nil"/>
              <w:left w:val="nil"/>
              <w:bottom w:val="nil"/>
              <w:right w:val="nil"/>
            </w:tcBorders>
            <w:vAlign w:val="bottom"/>
          </w:tcPr>
          <w:p>
            <w:pPr>
              <w:widowControl/>
              <w:jc w:val="center"/>
              <w:rPr>
                <w:kern w:val="0"/>
                <w:sz w:val="18"/>
              </w:rPr>
            </w:pPr>
            <w:r>
              <w:rPr>
                <w:kern w:val="0"/>
                <w:sz w:val="18"/>
              </w:rPr>
              <w:t>3</w:t>
            </w:r>
          </w:p>
        </w:tc>
        <w:tc>
          <w:tcPr>
            <w:tcW w:w="2410" w:type="dxa"/>
            <w:tcBorders>
              <w:top w:val="nil"/>
              <w:left w:val="nil"/>
              <w:bottom w:val="nil"/>
              <w:right w:val="nil"/>
            </w:tcBorders>
            <w:vAlign w:val="bottom"/>
          </w:tcPr>
          <w:p>
            <w:pPr>
              <w:widowControl/>
              <w:jc w:val="right"/>
              <w:rPr>
                <w:kern w:val="0"/>
                <w:sz w:val="20"/>
              </w:rPr>
            </w:pPr>
            <w:r>
              <w:rPr>
                <w:kern w:val="0"/>
                <w:sz w:val="20"/>
              </w:rPr>
              <w:t xml:space="preserve">312,616,985.27 </w:t>
            </w:r>
          </w:p>
        </w:tc>
        <w:tc>
          <w:tcPr>
            <w:tcW w:w="2268" w:type="dxa"/>
            <w:tcBorders>
              <w:top w:val="nil"/>
              <w:left w:val="nil"/>
              <w:bottom w:val="nil"/>
              <w:right w:val="nil"/>
            </w:tcBorders>
            <w:vAlign w:val="bottom"/>
          </w:tcPr>
          <w:p>
            <w:pPr>
              <w:widowControl/>
              <w:jc w:val="right"/>
              <w:rPr>
                <w:kern w:val="0"/>
                <w:sz w:val="20"/>
              </w:rPr>
            </w:pPr>
            <w:r>
              <w:rPr>
                <w:kern w:val="0"/>
                <w:sz w:val="20"/>
              </w:rPr>
              <w:t>343,392,085.04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75" w:hRule="atLeast"/>
        </w:trPr>
        <w:tc>
          <w:tcPr>
            <w:tcW w:w="2693" w:type="dxa"/>
            <w:tcBorders>
              <w:top w:val="nil"/>
              <w:left w:val="nil"/>
              <w:bottom w:val="nil"/>
              <w:right w:val="nil"/>
            </w:tcBorders>
            <w:vAlign w:val="bottom"/>
          </w:tcPr>
          <w:p>
            <w:pPr>
              <w:widowControl/>
              <w:rPr>
                <w:kern w:val="0"/>
                <w:sz w:val="20"/>
              </w:rPr>
            </w:pPr>
            <w:r>
              <w:rPr>
                <w:rFonts w:hint="eastAsia"/>
                <w:kern w:val="0"/>
                <w:sz w:val="20"/>
              </w:rPr>
              <w:t>預付款項</w:t>
            </w:r>
          </w:p>
        </w:tc>
        <w:tc>
          <w:tcPr>
            <w:tcW w:w="567" w:type="dxa"/>
            <w:tcBorders>
              <w:top w:val="nil"/>
              <w:left w:val="nil"/>
              <w:bottom w:val="nil"/>
              <w:right w:val="nil"/>
            </w:tcBorders>
            <w:vAlign w:val="bottom"/>
          </w:tcPr>
          <w:p>
            <w:pPr>
              <w:widowControl/>
              <w:jc w:val="left"/>
              <w:rPr>
                <w:kern w:val="0"/>
                <w:sz w:val="18"/>
              </w:rPr>
            </w:pPr>
          </w:p>
        </w:tc>
        <w:tc>
          <w:tcPr>
            <w:tcW w:w="2410" w:type="dxa"/>
            <w:tcBorders>
              <w:top w:val="nil"/>
              <w:left w:val="nil"/>
              <w:bottom w:val="nil"/>
              <w:right w:val="nil"/>
            </w:tcBorders>
            <w:vAlign w:val="bottom"/>
          </w:tcPr>
          <w:p>
            <w:pPr>
              <w:widowControl/>
              <w:jc w:val="right"/>
              <w:rPr>
                <w:kern w:val="0"/>
                <w:sz w:val="20"/>
              </w:rPr>
            </w:pPr>
            <w:r>
              <w:rPr>
                <w:kern w:val="0"/>
                <w:sz w:val="20"/>
              </w:rPr>
              <w:t xml:space="preserve">22,806,947.53 </w:t>
            </w:r>
          </w:p>
        </w:tc>
        <w:tc>
          <w:tcPr>
            <w:tcW w:w="2268" w:type="dxa"/>
            <w:tcBorders>
              <w:top w:val="nil"/>
              <w:left w:val="nil"/>
              <w:bottom w:val="nil"/>
              <w:right w:val="nil"/>
            </w:tcBorders>
            <w:vAlign w:val="bottom"/>
          </w:tcPr>
          <w:p>
            <w:pPr>
              <w:widowControl/>
              <w:jc w:val="right"/>
              <w:rPr>
                <w:kern w:val="0"/>
                <w:sz w:val="20"/>
              </w:rPr>
            </w:pPr>
            <w:r>
              <w:rPr>
                <w:kern w:val="0"/>
                <w:sz w:val="20"/>
              </w:rPr>
              <w:t>29,151,280.72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2693" w:type="dxa"/>
            <w:tcBorders>
              <w:top w:val="nil"/>
              <w:left w:val="nil"/>
              <w:bottom w:val="nil"/>
              <w:right w:val="nil"/>
            </w:tcBorders>
            <w:vAlign w:val="bottom"/>
          </w:tcPr>
          <w:p>
            <w:pPr>
              <w:widowControl/>
              <w:rPr>
                <w:kern w:val="0"/>
                <w:sz w:val="20"/>
              </w:rPr>
            </w:pPr>
            <w:r>
              <w:rPr>
                <w:rFonts w:hint="eastAsia"/>
                <w:kern w:val="0"/>
                <w:sz w:val="20"/>
              </w:rPr>
              <w:t>其他應收款</w:t>
            </w:r>
          </w:p>
        </w:tc>
        <w:tc>
          <w:tcPr>
            <w:tcW w:w="567" w:type="dxa"/>
            <w:tcBorders>
              <w:top w:val="nil"/>
              <w:left w:val="nil"/>
              <w:bottom w:val="nil"/>
              <w:right w:val="nil"/>
            </w:tcBorders>
            <w:vAlign w:val="bottom"/>
          </w:tcPr>
          <w:p>
            <w:pPr>
              <w:widowControl/>
              <w:jc w:val="center"/>
              <w:rPr>
                <w:kern w:val="0"/>
                <w:sz w:val="18"/>
              </w:rPr>
            </w:pPr>
            <w:r>
              <w:rPr>
                <w:kern w:val="0"/>
                <w:sz w:val="18"/>
              </w:rPr>
              <w:t>4</w:t>
            </w:r>
          </w:p>
        </w:tc>
        <w:tc>
          <w:tcPr>
            <w:tcW w:w="2410" w:type="dxa"/>
            <w:tcBorders>
              <w:top w:val="nil"/>
              <w:left w:val="nil"/>
              <w:bottom w:val="nil"/>
              <w:right w:val="nil"/>
            </w:tcBorders>
            <w:vAlign w:val="bottom"/>
          </w:tcPr>
          <w:p>
            <w:pPr>
              <w:widowControl/>
              <w:jc w:val="right"/>
              <w:rPr>
                <w:kern w:val="0"/>
                <w:sz w:val="20"/>
              </w:rPr>
            </w:pPr>
            <w:r>
              <w:rPr>
                <w:kern w:val="0"/>
                <w:sz w:val="20"/>
              </w:rPr>
              <w:t xml:space="preserve">45,017,383.05 </w:t>
            </w:r>
          </w:p>
        </w:tc>
        <w:tc>
          <w:tcPr>
            <w:tcW w:w="2268" w:type="dxa"/>
            <w:tcBorders>
              <w:top w:val="nil"/>
              <w:left w:val="nil"/>
              <w:bottom w:val="nil"/>
              <w:right w:val="nil"/>
            </w:tcBorders>
            <w:vAlign w:val="bottom"/>
          </w:tcPr>
          <w:p>
            <w:pPr>
              <w:widowControl/>
              <w:jc w:val="right"/>
              <w:rPr>
                <w:kern w:val="0"/>
                <w:sz w:val="20"/>
              </w:rPr>
            </w:pPr>
            <w:r>
              <w:rPr>
                <w:kern w:val="0"/>
                <w:sz w:val="20"/>
              </w:rPr>
              <w:t>46,590,419.30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2693" w:type="dxa"/>
            <w:tcBorders>
              <w:top w:val="nil"/>
              <w:left w:val="nil"/>
              <w:bottom w:val="nil"/>
              <w:right w:val="nil"/>
            </w:tcBorders>
            <w:vAlign w:val="bottom"/>
          </w:tcPr>
          <w:p>
            <w:pPr>
              <w:widowControl/>
              <w:rPr>
                <w:kern w:val="0"/>
                <w:sz w:val="20"/>
              </w:rPr>
            </w:pPr>
            <w:r>
              <w:rPr>
                <w:rFonts w:hint="eastAsia"/>
                <w:kern w:val="0"/>
                <w:sz w:val="20"/>
              </w:rPr>
              <w:t>存貨</w:t>
            </w:r>
          </w:p>
        </w:tc>
        <w:tc>
          <w:tcPr>
            <w:tcW w:w="567" w:type="dxa"/>
            <w:tcBorders>
              <w:top w:val="nil"/>
              <w:left w:val="nil"/>
              <w:bottom w:val="nil"/>
              <w:right w:val="nil"/>
            </w:tcBorders>
            <w:vAlign w:val="bottom"/>
          </w:tcPr>
          <w:p>
            <w:pPr>
              <w:widowControl/>
              <w:jc w:val="left"/>
              <w:rPr>
                <w:kern w:val="0"/>
                <w:sz w:val="18"/>
              </w:rPr>
            </w:pPr>
          </w:p>
        </w:tc>
        <w:tc>
          <w:tcPr>
            <w:tcW w:w="2410" w:type="dxa"/>
            <w:tcBorders>
              <w:top w:val="nil"/>
              <w:left w:val="nil"/>
              <w:bottom w:val="nil"/>
              <w:right w:val="nil"/>
            </w:tcBorders>
            <w:vAlign w:val="bottom"/>
          </w:tcPr>
          <w:p>
            <w:pPr>
              <w:widowControl/>
              <w:jc w:val="right"/>
              <w:rPr>
                <w:kern w:val="0"/>
                <w:sz w:val="20"/>
              </w:rPr>
            </w:pPr>
            <w:r>
              <w:rPr>
                <w:kern w:val="0"/>
                <w:sz w:val="20"/>
              </w:rPr>
              <w:t xml:space="preserve">713,210,692.52 </w:t>
            </w:r>
          </w:p>
        </w:tc>
        <w:tc>
          <w:tcPr>
            <w:tcW w:w="2268" w:type="dxa"/>
            <w:tcBorders>
              <w:top w:val="nil"/>
              <w:left w:val="nil"/>
              <w:bottom w:val="nil"/>
              <w:right w:val="nil"/>
            </w:tcBorders>
            <w:vAlign w:val="bottom"/>
          </w:tcPr>
          <w:p>
            <w:pPr>
              <w:widowControl/>
              <w:jc w:val="right"/>
              <w:rPr>
                <w:kern w:val="0"/>
                <w:sz w:val="20"/>
              </w:rPr>
            </w:pPr>
            <w:r>
              <w:rPr>
                <w:kern w:val="0"/>
                <w:sz w:val="20"/>
              </w:rPr>
              <w:t>559,487,133.74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2693" w:type="dxa"/>
            <w:tcBorders>
              <w:top w:val="nil"/>
              <w:left w:val="nil"/>
              <w:bottom w:val="nil"/>
              <w:right w:val="nil"/>
            </w:tcBorders>
            <w:vAlign w:val="bottom"/>
          </w:tcPr>
          <w:p>
            <w:pPr>
              <w:widowControl/>
              <w:rPr>
                <w:kern w:val="0"/>
                <w:sz w:val="20"/>
              </w:rPr>
            </w:pPr>
            <w:r>
              <w:rPr>
                <w:rFonts w:hint="eastAsia"/>
                <w:kern w:val="0"/>
                <w:sz w:val="20"/>
              </w:rPr>
              <w:t>其他流動資產</w:t>
            </w:r>
          </w:p>
        </w:tc>
        <w:tc>
          <w:tcPr>
            <w:tcW w:w="567" w:type="dxa"/>
            <w:tcBorders>
              <w:top w:val="nil"/>
              <w:left w:val="nil"/>
              <w:bottom w:val="nil"/>
              <w:right w:val="nil"/>
            </w:tcBorders>
            <w:vAlign w:val="bottom"/>
          </w:tcPr>
          <w:p>
            <w:pPr>
              <w:widowControl/>
              <w:jc w:val="left"/>
              <w:rPr>
                <w:kern w:val="0"/>
                <w:sz w:val="18"/>
              </w:rPr>
            </w:pPr>
          </w:p>
        </w:tc>
        <w:tc>
          <w:tcPr>
            <w:tcW w:w="2410" w:type="dxa"/>
            <w:tcBorders>
              <w:top w:val="nil"/>
              <w:left w:val="nil"/>
              <w:bottom w:val="nil"/>
              <w:right w:val="nil"/>
            </w:tcBorders>
            <w:vAlign w:val="bottom"/>
          </w:tcPr>
          <w:p>
            <w:pPr>
              <w:widowControl/>
              <w:jc w:val="right"/>
              <w:rPr>
                <w:kern w:val="0"/>
                <w:sz w:val="20"/>
              </w:rPr>
            </w:pPr>
            <w:r>
              <w:rPr>
                <w:kern w:val="0"/>
                <w:sz w:val="20"/>
              </w:rPr>
              <w:t xml:space="preserve">61,956,321.18 </w:t>
            </w:r>
          </w:p>
        </w:tc>
        <w:tc>
          <w:tcPr>
            <w:tcW w:w="2268" w:type="dxa"/>
            <w:tcBorders>
              <w:top w:val="nil"/>
              <w:left w:val="nil"/>
              <w:bottom w:val="nil"/>
              <w:right w:val="nil"/>
            </w:tcBorders>
            <w:vAlign w:val="bottom"/>
          </w:tcPr>
          <w:p>
            <w:pPr>
              <w:widowControl/>
              <w:jc w:val="right"/>
              <w:rPr>
                <w:kern w:val="0"/>
                <w:sz w:val="20"/>
              </w:rPr>
            </w:pPr>
            <w:r>
              <w:rPr>
                <w:kern w:val="0"/>
                <w:sz w:val="20"/>
              </w:rPr>
              <w:t>63,631,331.50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2693" w:type="dxa"/>
            <w:tcBorders>
              <w:top w:val="nil"/>
              <w:left w:val="nil"/>
              <w:bottom w:val="nil"/>
              <w:right w:val="nil"/>
            </w:tcBorders>
            <w:vAlign w:val="bottom"/>
          </w:tcPr>
          <w:p>
            <w:pPr>
              <w:widowControl/>
              <w:jc w:val="center"/>
              <w:rPr>
                <w:b/>
                <w:kern w:val="0"/>
                <w:sz w:val="20"/>
              </w:rPr>
            </w:pPr>
            <w:r>
              <w:rPr>
                <w:rFonts w:hint="eastAsia"/>
                <w:b/>
                <w:kern w:val="0"/>
                <w:sz w:val="20"/>
              </w:rPr>
              <w:t>流動資產合計</w:t>
            </w:r>
          </w:p>
        </w:tc>
        <w:tc>
          <w:tcPr>
            <w:tcW w:w="567" w:type="dxa"/>
            <w:tcBorders>
              <w:top w:val="nil"/>
              <w:left w:val="nil"/>
              <w:bottom w:val="nil"/>
              <w:right w:val="nil"/>
            </w:tcBorders>
            <w:vAlign w:val="bottom"/>
          </w:tcPr>
          <w:p>
            <w:pPr>
              <w:widowControl/>
              <w:jc w:val="center"/>
              <w:rPr>
                <w:b/>
                <w:kern w:val="0"/>
                <w:sz w:val="18"/>
              </w:rPr>
            </w:pPr>
          </w:p>
        </w:tc>
        <w:tc>
          <w:tcPr>
            <w:tcW w:w="2410" w:type="dxa"/>
            <w:tcBorders>
              <w:top w:val="nil"/>
              <w:left w:val="nil"/>
              <w:bottom w:val="nil"/>
              <w:right w:val="nil"/>
            </w:tcBorders>
            <w:vAlign w:val="bottom"/>
          </w:tcPr>
          <w:p>
            <w:pPr>
              <w:widowControl/>
              <w:jc w:val="right"/>
              <w:rPr>
                <w:b/>
                <w:kern w:val="0"/>
                <w:sz w:val="20"/>
              </w:rPr>
            </w:pPr>
            <w:r>
              <w:rPr>
                <w:b/>
                <w:kern w:val="0"/>
                <w:sz w:val="20"/>
              </w:rPr>
              <w:t xml:space="preserve">2,009,989,428.83 </w:t>
            </w:r>
          </w:p>
        </w:tc>
        <w:tc>
          <w:tcPr>
            <w:tcW w:w="2268" w:type="dxa"/>
            <w:tcBorders>
              <w:top w:val="nil"/>
              <w:left w:val="nil"/>
              <w:bottom w:val="nil"/>
              <w:right w:val="nil"/>
            </w:tcBorders>
            <w:vAlign w:val="bottom"/>
          </w:tcPr>
          <w:p>
            <w:pPr>
              <w:widowControl/>
              <w:jc w:val="right"/>
              <w:rPr>
                <w:b/>
                <w:kern w:val="0"/>
                <w:sz w:val="20"/>
              </w:rPr>
            </w:pPr>
            <w:r>
              <w:rPr>
                <w:b/>
                <w:kern w:val="0"/>
                <w:sz w:val="20"/>
              </w:rPr>
              <w:t>1,710,589,011.53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2693" w:type="dxa"/>
            <w:tcBorders>
              <w:top w:val="nil"/>
              <w:left w:val="nil"/>
              <w:bottom w:val="nil"/>
              <w:right w:val="nil"/>
            </w:tcBorders>
            <w:vAlign w:val="bottom"/>
          </w:tcPr>
          <w:p>
            <w:pPr>
              <w:widowControl/>
              <w:rPr>
                <w:rFonts w:cs="宋体"/>
                <w:kern w:val="0"/>
                <w:sz w:val="20"/>
                <w:lang w:eastAsia="zh-TW"/>
              </w:rPr>
            </w:pPr>
          </w:p>
          <w:p>
            <w:pPr>
              <w:widowControl/>
              <w:rPr>
                <w:kern w:val="0"/>
                <w:sz w:val="20"/>
              </w:rPr>
            </w:pPr>
            <w:r>
              <w:rPr>
                <w:rFonts w:hint="eastAsia"/>
                <w:kern w:val="0"/>
                <w:sz w:val="20"/>
              </w:rPr>
              <w:t>非流動資產：</w:t>
            </w:r>
          </w:p>
        </w:tc>
        <w:tc>
          <w:tcPr>
            <w:tcW w:w="567" w:type="dxa"/>
            <w:tcBorders>
              <w:top w:val="nil"/>
              <w:left w:val="nil"/>
              <w:bottom w:val="nil"/>
              <w:right w:val="nil"/>
            </w:tcBorders>
            <w:vAlign w:val="bottom"/>
          </w:tcPr>
          <w:p>
            <w:pPr>
              <w:widowControl/>
              <w:jc w:val="center"/>
              <w:rPr>
                <w:kern w:val="0"/>
                <w:sz w:val="18"/>
              </w:rPr>
            </w:pPr>
          </w:p>
        </w:tc>
        <w:tc>
          <w:tcPr>
            <w:tcW w:w="2410" w:type="dxa"/>
            <w:tcBorders>
              <w:top w:val="nil"/>
              <w:left w:val="nil"/>
              <w:bottom w:val="nil"/>
              <w:right w:val="nil"/>
            </w:tcBorders>
            <w:vAlign w:val="center"/>
          </w:tcPr>
          <w:p>
            <w:pPr>
              <w:widowControl/>
              <w:jc w:val="right"/>
              <w:rPr>
                <w:kern w:val="0"/>
                <w:sz w:val="20"/>
              </w:rPr>
            </w:pPr>
          </w:p>
        </w:tc>
        <w:tc>
          <w:tcPr>
            <w:tcW w:w="2268" w:type="dxa"/>
            <w:tcBorders>
              <w:top w:val="nil"/>
              <w:left w:val="nil"/>
              <w:bottom w:val="nil"/>
              <w:right w:val="nil"/>
            </w:tcBorders>
            <w:vAlign w:val="center"/>
          </w:tcPr>
          <w:p>
            <w:pPr>
              <w:widowControl/>
              <w:jc w:val="right"/>
              <w:rPr>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2693" w:type="dxa"/>
            <w:tcBorders>
              <w:top w:val="nil"/>
              <w:left w:val="nil"/>
              <w:bottom w:val="nil"/>
              <w:right w:val="nil"/>
            </w:tcBorders>
            <w:vAlign w:val="bottom"/>
          </w:tcPr>
          <w:p>
            <w:pPr>
              <w:widowControl/>
              <w:rPr>
                <w:kern w:val="0"/>
                <w:sz w:val="20"/>
              </w:rPr>
            </w:pPr>
            <w:r>
              <w:rPr>
                <w:rFonts w:hint="eastAsia"/>
                <w:kern w:val="0"/>
                <w:sz w:val="20"/>
              </w:rPr>
              <w:t>可供出售金融資產</w:t>
            </w:r>
          </w:p>
        </w:tc>
        <w:tc>
          <w:tcPr>
            <w:tcW w:w="567" w:type="dxa"/>
            <w:tcBorders>
              <w:top w:val="nil"/>
              <w:left w:val="nil"/>
              <w:bottom w:val="nil"/>
              <w:right w:val="nil"/>
            </w:tcBorders>
            <w:vAlign w:val="bottom"/>
          </w:tcPr>
          <w:p>
            <w:pPr>
              <w:widowControl/>
              <w:jc w:val="center"/>
              <w:rPr>
                <w:kern w:val="0"/>
                <w:sz w:val="18"/>
              </w:rPr>
            </w:pPr>
          </w:p>
        </w:tc>
        <w:tc>
          <w:tcPr>
            <w:tcW w:w="2410" w:type="dxa"/>
            <w:tcBorders>
              <w:top w:val="nil"/>
              <w:left w:val="nil"/>
              <w:bottom w:val="nil"/>
              <w:right w:val="nil"/>
            </w:tcBorders>
            <w:vAlign w:val="bottom"/>
          </w:tcPr>
          <w:p>
            <w:pPr>
              <w:widowControl/>
              <w:jc w:val="right"/>
              <w:rPr>
                <w:kern w:val="0"/>
                <w:sz w:val="20"/>
              </w:rPr>
            </w:pPr>
            <w:r>
              <w:rPr>
                <w:kern w:val="0"/>
                <w:sz w:val="20"/>
              </w:rPr>
              <w:t xml:space="preserve">258,141,232.00 </w:t>
            </w:r>
          </w:p>
        </w:tc>
        <w:tc>
          <w:tcPr>
            <w:tcW w:w="2268" w:type="dxa"/>
            <w:tcBorders>
              <w:top w:val="nil"/>
              <w:left w:val="nil"/>
              <w:bottom w:val="nil"/>
              <w:right w:val="nil"/>
            </w:tcBorders>
            <w:vAlign w:val="bottom"/>
          </w:tcPr>
          <w:p>
            <w:pPr>
              <w:widowControl/>
              <w:jc w:val="right"/>
              <w:rPr>
                <w:kern w:val="0"/>
                <w:sz w:val="20"/>
              </w:rPr>
            </w:pPr>
            <w:r>
              <w:rPr>
                <w:kern w:val="0"/>
                <w:sz w:val="20"/>
              </w:rPr>
              <w:t>189,474,784.00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2693" w:type="dxa"/>
            <w:tcBorders>
              <w:top w:val="nil"/>
              <w:left w:val="nil"/>
              <w:bottom w:val="nil"/>
              <w:right w:val="nil"/>
            </w:tcBorders>
            <w:vAlign w:val="bottom"/>
          </w:tcPr>
          <w:p>
            <w:pPr>
              <w:widowControl/>
              <w:rPr>
                <w:kern w:val="0"/>
                <w:sz w:val="20"/>
              </w:rPr>
            </w:pPr>
            <w:r>
              <w:rPr>
                <w:rFonts w:hint="eastAsia"/>
                <w:kern w:val="0"/>
                <w:sz w:val="20"/>
              </w:rPr>
              <w:t>投資性房地產</w:t>
            </w:r>
          </w:p>
        </w:tc>
        <w:tc>
          <w:tcPr>
            <w:tcW w:w="567" w:type="dxa"/>
            <w:tcBorders>
              <w:top w:val="nil"/>
              <w:left w:val="nil"/>
              <w:bottom w:val="nil"/>
              <w:right w:val="nil"/>
            </w:tcBorders>
            <w:vAlign w:val="bottom"/>
          </w:tcPr>
          <w:p>
            <w:pPr>
              <w:widowControl/>
              <w:jc w:val="center"/>
              <w:rPr>
                <w:kern w:val="0"/>
                <w:sz w:val="18"/>
              </w:rPr>
            </w:pPr>
          </w:p>
        </w:tc>
        <w:tc>
          <w:tcPr>
            <w:tcW w:w="2410" w:type="dxa"/>
            <w:tcBorders>
              <w:top w:val="nil"/>
              <w:left w:val="nil"/>
              <w:bottom w:val="nil"/>
              <w:right w:val="nil"/>
            </w:tcBorders>
            <w:vAlign w:val="bottom"/>
          </w:tcPr>
          <w:p>
            <w:pPr>
              <w:widowControl/>
              <w:jc w:val="right"/>
              <w:rPr>
                <w:kern w:val="0"/>
                <w:sz w:val="20"/>
              </w:rPr>
            </w:pPr>
            <w:r>
              <w:rPr>
                <w:kern w:val="0"/>
                <w:sz w:val="20"/>
              </w:rPr>
              <w:t xml:space="preserve">73,441,754.87 </w:t>
            </w:r>
          </w:p>
        </w:tc>
        <w:tc>
          <w:tcPr>
            <w:tcW w:w="2268" w:type="dxa"/>
            <w:tcBorders>
              <w:top w:val="nil"/>
              <w:left w:val="nil"/>
              <w:bottom w:val="nil"/>
              <w:right w:val="nil"/>
            </w:tcBorders>
            <w:vAlign w:val="bottom"/>
          </w:tcPr>
          <w:p>
            <w:pPr>
              <w:widowControl/>
              <w:jc w:val="right"/>
              <w:rPr>
                <w:kern w:val="0"/>
                <w:sz w:val="20"/>
              </w:rPr>
            </w:pPr>
            <w:r>
              <w:rPr>
                <w:kern w:val="0"/>
                <w:sz w:val="20"/>
              </w:rPr>
              <w:t>75,635,320.09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2693" w:type="dxa"/>
            <w:tcBorders>
              <w:top w:val="nil"/>
              <w:left w:val="nil"/>
              <w:bottom w:val="nil"/>
              <w:right w:val="nil"/>
            </w:tcBorders>
            <w:vAlign w:val="bottom"/>
          </w:tcPr>
          <w:p>
            <w:pPr>
              <w:widowControl/>
              <w:rPr>
                <w:kern w:val="0"/>
                <w:sz w:val="20"/>
              </w:rPr>
            </w:pPr>
            <w:r>
              <w:rPr>
                <w:rFonts w:hint="eastAsia"/>
                <w:kern w:val="0"/>
                <w:sz w:val="20"/>
              </w:rPr>
              <w:t>固定資產</w:t>
            </w:r>
          </w:p>
        </w:tc>
        <w:tc>
          <w:tcPr>
            <w:tcW w:w="567" w:type="dxa"/>
            <w:tcBorders>
              <w:top w:val="nil"/>
              <w:left w:val="nil"/>
              <w:bottom w:val="nil"/>
              <w:right w:val="nil"/>
            </w:tcBorders>
            <w:vAlign w:val="bottom"/>
          </w:tcPr>
          <w:p>
            <w:pPr>
              <w:widowControl/>
              <w:jc w:val="center"/>
              <w:rPr>
                <w:kern w:val="0"/>
                <w:sz w:val="18"/>
              </w:rPr>
            </w:pPr>
          </w:p>
        </w:tc>
        <w:tc>
          <w:tcPr>
            <w:tcW w:w="2410" w:type="dxa"/>
            <w:tcBorders>
              <w:top w:val="nil"/>
              <w:left w:val="nil"/>
              <w:bottom w:val="nil"/>
              <w:right w:val="nil"/>
            </w:tcBorders>
            <w:vAlign w:val="bottom"/>
          </w:tcPr>
          <w:p>
            <w:pPr>
              <w:widowControl/>
              <w:jc w:val="right"/>
              <w:rPr>
                <w:kern w:val="0"/>
                <w:sz w:val="20"/>
              </w:rPr>
            </w:pPr>
            <w:r>
              <w:rPr>
                <w:kern w:val="0"/>
                <w:sz w:val="20"/>
              </w:rPr>
              <w:t xml:space="preserve">2,152,905,567.58 </w:t>
            </w:r>
          </w:p>
        </w:tc>
        <w:tc>
          <w:tcPr>
            <w:tcW w:w="2268" w:type="dxa"/>
            <w:tcBorders>
              <w:top w:val="nil"/>
              <w:left w:val="nil"/>
              <w:bottom w:val="nil"/>
              <w:right w:val="nil"/>
            </w:tcBorders>
            <w:vAlign w:val="bottom"/>
          </w:tcPr>
          <w:p>
            <w:pPr>
              <w:widowControl/>
              <w:jc w:val="right"/>
              <w:rPr>
                <w:kern w:val="0"/>
                <w:sz w:val="20"/>
              </w:rPr>
            </w:pPr>
            <w:r>
              <w:rPr>
                <w:kern w:val="0"/>
                <w:sz w:val="20"/>
              </w:rPr>
              <w:t>2,120,995,100.52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2693" w:type="dxa"/>
            <w:tcBorders>
              <w:top w:val="nil"/>
              <w:left w:val="nil"/>
              <w:bottom w:val="nil"/>
              <w:right w:val="nil"/>
            </w:tcBorders>
            <w:vAlign w:val="bottom"/>
          </w:tcPr>
          <w:p>
            <w:pPr>
              <w:widowControl/>
              <w:rPr>
                <w:kern w:val="0"/>
                <w:sz w:val="20"/>
              </w:rPr>
            </w:pPr>
            <w:r>
              <w:rPr>
                <w:rFonts w:hint="eastAsia"/>
                <w:kern w:val="0"/>
                <w:sz w:val="20"/>
              </w:rPr>
              <w:t>在建工程</w:t>
            </w:r>
          </w:p>
        </w:tc>
        <w:tc>
          <w:tcPr>
            <w:tcW w:w="567" w:type="dxa"/>
            <w:tcBorders>
              <w:top w:val="nil"/>
              <w:left w:val="nil"/>
              <w:bottom w:val="nil"/>
              <w:right w:val="nil"/>
            </w:tcBorders>
            <w:vAlign w:val="bottom"/>
          </w:tcPr>
          <w:p>
            <w:pPr>
              <w:widowControl/>
              <w:jc w:val="center"/>
              <w:rPr>
                <w:kern w:val="0"/>
                <w:sz w:val="18"/>
              </w:rPr>
            </w:pPr>
          </w:p>
        </w:tc>
        <w:tc>
          <w:tcPr>
            <w:tcW w:w="2410" w:type="dxa"/>
            <w:tcBorders>
              <w:top w:val="nil"/>
              <w:left w:val="nil"/>
              <w:bottom w:val="nil"/>
              <w:right w:val="nil"/>
            </w:tcBorders>
            <w:vAlign w:val="bottom"/>
          </w:tcPr>
          <w:p>
            <w:pPr>
              <w:widowControl/>
              <w:jc w:val="right"/>
              <w:rPr>
                <w:kern w:val="0"/>
                <w:sz w:val="20"/>
              </w:rPr>
            </w:pPr>
            <w:r>
              <w:rPr>
                <w:kern w:val="0"/>
                <w:sz w:val="20"/>
              </w:rPr>
              <w:t xml:space="preserve">434,545,877.52 </w:t>
            </w:r>
          </w:p>
        </w:tc>
        <w:tc>
          <w:tcPr>
            <w:tcW w:w="2268" w:type="dxa"/>
            <w:tcBorders>
              <w:top w:val="nil"/>
              <w:left w:val="nil"/>
              <w:bottom w:val="nil"/>
              <w:right w:val="nil"/>
            </w:tcBorders>
            <w:vAlign w:val="bottom"/>
          </w:tcPr>
          <w:p>
            <w:pPr>
              <w:widowControl/>
              <w:jc w:val="right"/>
              <w:rPr>
                <w:kern w:val="0"/>
                <w:sz w:val="20"/>
              </w:rPr>
            </w:pPr>
            <w:r>
              <w:rPr>
                <w:kern w:val="0"/>
                <w:sz w:val="20"/>
              </w:rPr>
              <w:t>274,420,412.04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2693" w:type="dxa"/>
            <w:tcBorders>
              <w:top w:val="nil"/>
              <w:left w:val="nil"/>
              <w:bottom w:val="nil"/>
              <w:right w:val="nil"/>
            </w:tcBorders>
            <w:vAlign w:val="bottom"/>
          </w:tcPr>
          <w:p>
            <w:pPr>
              <w:widowControl/>
              <w:rPr>
                <w:kern w:val="0"/>
                <w:sz w:val="20"/>
              </w:rPr>
            </w:pPr>
            <w:r>
              <w:rPr>
                <w:rFonts w:hint="eastAsia"/>
                <w:kern w:val="0"/>
                <w:sz w:val="20"/>
              </w:rPr>
              <w:t>無形資產</w:t>
            </w:r>
          </w:p>
        </w:tc>
        <w:tc>
          <w:tcPr>
            <w:tcW w:w="567" w:type="dxa"/>
            <w:tcBorders>
              <w:top w:val="nil"/>
              <w:left w:val="nil"/>
              <w:bottom w:val="nil"/>
              <w:right w:val="nil"/>
            </w:tcBorders>
            <w:vAlign w:val="bottom"/>
          </w:tcPr>
          <w:p>
            <w:pPr>
              <w:widowControl/>
              <w:jc w:val="center"/>
              <w:rPr>
                <w:kern w:val="0"/>
                <w:sz w:val="18"/>
              </w:rPr>
            </w:pPr>
          </w:p>
        </w:tc>
        <w:tc>
          <w:tcPr>
            <w:tcW w:w="2410" w:type="dxa"/>
            <w:tcBorders>
              <w:top w:val="nil"/>
              <w:left w:val="nil"/>
              <w:bottom w:val="nil"/>
              <w:right w:val="nil"/>
            </w:tcBorders>
            <w:vAlign w:val="bottom"/>
          </w:tcPr>
          <w:p>
            <w:pPr>
              <w:widowControl/>
              <w:jc w:val="right"/>
              <w:rPr>
                <w:kern w:val="0"/>
                <w:sz w:val="20"/>
              </w:rPr>
            </w:pPr>
            <w:r>
              <w:rPr>
                <w:kern w:val="0"/>
                <w:sz w:val="20"/>
              </w:rPr>
              <w:t xml:space="preserve">323,563,478.78 </w:t>
            </w:r>
          </w:p>
        </w:tc>
        <w:tc>
          <w:tcPr>
            <w:tcW w:w="2268" w:type="dxa"/>
            <w:tcBorders>
              <w:top w:val="nil"/>
              <w:left w:val="nil"/>
              <w:bottom w:val="nil"/>
              <w:right w:val="nil"/>
            </w:tcBorders>
            <w:vAlign w:val="bottom"/>
          </w:tcPr>
          <w:p>
            <w:pPr>
              <w:widowControl/>
              <w:jc w:val="right"/>
              <w:rPr>
                <w:kern w:val="0"/>
                <w:sz w:val="20"/>
              </w:rPr>
            </w:pPr>
            <w:r>
              <w:rPr>
                <w:kern w:val="0"/>
                <w:sz w:val="20"/>
              </w:rPr>
              <w:t>283,274,940.35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2693" w:type="dxa"/>
            <w:tcBorders>
              <w:top w:val="nil"/>
              <w:left w:val="nil"/>
              <w:bottom w:val="nil"/>
              <w:right w:val="nil"/>
            </w:tcBorders>
            <w:vAlign w:val="bottom"/>
          </w:tcPr>
          <w:p>
            <w:pPr>
              <w:widowControl/>
              <w:rPr>
                <w:kern w:val="0"/>
                <w:sz w:val="20"/>
              </w:rPr>
            </w:pPr>
            <w:r>
              <w:rPr>
                <w:rFonts w:hint="eastAsia"/>
                <w:kern w:val="0"/>
                <w:sz w:val="20"/>
              </w:rPr>
              <w:t>遞延所得稅資產</w:t>
            </w:r>
          </w:p>
        </w:tc>
        <w:tc>
          <w:tcPr>
            <w:tcW w:w="567" w:type="dxa"/>
            <w:tcBorders>
              <w:top w:val="nil"/>
              <w:left w:val="nil"/>
              <w:bottom w:val="nil"/>
              <w:right w:val="nil"/>
            </w:tcBorders>
            <w:vAlign w:val="bottom"/>
          </w:tcPr>
          <w:p>
            <w:pPr>
              <w:widowControl/>
              <w:jc w:val="center"/>
              <w:rPr>
                <w:kern w:val="0"/>
                <w:sz w:val="18"/>
              </w:rPr>
            </w:pPr>
          </w:p>
        </w:tc>
        <w:tc>
          <w:tcPr>
            <w:tcW w:w="2410" w:type="dxa"/>
            <w:tcBorders>
              <w:top w:val="nil"/>
              <w:left w:val="nil"/>
              <w:bottom w:val="nil"/>
              <w:right w:val="nil"/>
            </w:tcBorders>
            <w:vAlign w:val="bottom"/>
          </w:tcPr>
          <w:p>
            <w:pPr>
              <w:widowControl/>
              <w:jc w:val="right"/>
              <w:rPr>
                <w:kern w:val="0"/>
                <w:sz w:val="20"/>
              </w:rPr>
            </w:pPr>
            <w:r>
              <w:rPr>
                <w:kern w:val="0"/>
                <w:sz w:val="20"/>
              </w:rPr>
              <w:t xml:space="preserve">21,059,785.05 </w:t>
            </w:r>
          </w:p>
        </w:tc>
        <w:tc>
          <w:tcPr>
            <w:tcW w:w="2268" w:type="dxa"/>
            <w:tcBorders>
              <w:top w:val="nil"/>
              <w:left w:val="nil"/>
              <w:bottom w:val="nil"/>
              <w:right w:val="nil"/>
            </w:tcBorders>
            <w:vAlign w:val="bottom"/>
          </w:tcPr>
          <w:p>
            <w:pPr>
              <w:widowControl/>
              <w:jc w:val="right"/>
              <w:rPr>
                <w:kern w:val="0"/>
                <w:sz w:val="20"/>
              </w:rPr>
            </w:pPr>
            <w:r>
              <w:rPr>
                <w:kern w:val="0"/>
                <w:sz w:val="20"/>
              </w:rPr>
              <w:t>25,630,317.07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2693" w:type="dxa"/>
            <w:tcBorders>
              <w:top w:val="nil"/>
              <w:left w:val="nil"/>
              <w:bottom w:val="nil"/>
              <w:right w:val="nil"/>
            </w:tcBorders>
            <w:vAlign w:val="bottom"/>
          </w:tcPr>
          <w:p>
            <w:pPr>
              <w:widowControl/>
              <w:rPr>
                <w:kern w:val="0"/>
                <w:sz w:val="20"/>
              </w:rPr>
            </w:pPr>
            <w:r>
              <w:rPr>
                <w:rFonts w:hint="eastAsia"/>
                <w:kern w:val="0"/>
                <w:sz w:val="20"/>
              </w:rPr>
              <w:t>其他非流動資產</w:t>
            </w:r>
          </w:p>
        </w:tc>
        <w:tc>
          <w:tcPr>
            <w:tcW w:w="567" w:type="dxa"/>
            <w:tcBorders>
              <w:top w:val="nil"/>
              <w:left w:val="nil"/>
              <w:bottom w:val="nil"/>
              <w:right w:val="nil"/>
            </w:tcBorders>
            <w:vAlign w:val="bottom"/>
          </w:tcPr>
          <w:p>
            <w:pPr>
              <w:widowControl/>
              <w:jc w:val="center"/>
              <w:rPr>
                <w:kern w:val="0"/>
                <w:sz w:val="18"/>
              </w:rPr>
            </w:pPr>
          </w:p>
        </w:tc>
        <w:tc>
          <w:tcPr>
            <w:tcW w:w="2410" w:type="dxa"/>
            <w:tcBorders>
              <w:top w:val="nil"/>
              <w:left w:val="nil"/>
              <w:bottom w:val="nil"/>
              <w:right w:val="nil"/>
            </w:tcBorders>
            <w:vAlign w:val="bottom"/>
          </w:tcPr>
          <w:p>
            <w:pPr>
              <w:widowControl/>
              <w:jc w:val="right"/>
              <w:rPr>
                <w:kern w:val="0"/>
                <w:sz w:val="20"/>
              </w:rPr>
            </w:pPr>
            <w:r>
              <w:rPr>
                <w:kern w:val="0"/>
                <w:sz w:val="20"/>
              </w:rPr>
              <w:t>-</w:t>
            </w:r>
          </w:p>
        </w:tc>
        <w:tc>
          <w:tcPr>
            <w:tcW w:w="2268" w:type="dxa"/>
            <w:tcBorders>
              <w:top w:val="nil"/>
              <w:left w:val="nil"/>
              <w:bottom w:val="nil"/>
              <w:right w:val="nil"/>
            </w:tcBorders>
            <w:vAlign w:val="bottom"/>
          </w:tcPr>
          <w:p>
            <w:pPr>
              <w:widowControl/>
              <w:jc w:val="right"/>
              <w:rPr>
                <w:kern w:val="0"/>
                <w:sz w:val="20"/>
              </w:rPr>
            </w:pPr>
            <w:r>
              <w:rPr>
                <w:kern w:val="0"/>
                <w:sz w:val="20"/>
              </w:rPr>
              <w:t>42,766,078.24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2693" w:type="dxa"/>
            <w:tcBorders>
              <w:top w:val="nil"/>
              <w:left w:val="nil"/>
              <w:bottom w:val="nil"/>
              <w:right w:val="nil"/>
            </w:tcBorders>
            <w:vAlign w:val="bottom"/>
          </w:tcPr>
          <w:p>
            <w:pPr>
              <w:widowControl/>
              <w:jc w:val="center"/>
              <w:rPr>
                <w:rFonts w:cs="宋体"/>
                <w:b/>
                <w:sz w:val="20"/>
              </w:rPr>
            </w:pPr>
          </w:p>
          <w:p>
            <w:pPr>
              <w:widowControl/>
              <w:jc w:val="center"/>
              <w:rPr>
                <w:b/>
                <w:sz w:val="20"/>
              </w:rPr>
            </w:pPr>
            <w:r>
              <w:rPr>
                <w:rFonts w:hint="eastAsia"/>
                <w:b/>
                <w:sz w:val="20"/>
              </w:rPr>
              <w:t>非流動資產合計</w:t>
            </w:r>
          </w:p>
        </w:tc>
        <w:tc>
          <w:tcPr>
            <w:tcW w:w="567" w:type="dxa"/>
            <w:tcBorders>
              <w:top w:val="nil"/>
              <w:left w:val="nil"/>
              <w:bottom w:val="nil"/>
              <w:right w:val="nil"/>
            </w:tcBorders>
            <w:vAlign w:val="bottom"/>
          </w:tcPr>
          <w:p>
            <w:pPr>
              <w:widowControl/>
              <w:jc w:val="center"/>
              <w:rPr>
                <w:b/>
                <w:sz w:val="20"/>
              </w:rPr>
            </w:pPr>
          </w:p>
        </w:tc>
        <w:tc>
          <w:tcPr>
            <w:tcW w:w="2410" w:type="dxa"/>
            <w:tcBorders>
              <w:top w:val="nil"/>
              <w:left w:val="nil"/>
              <w:bottom w:val="nil"/>
              <w:right w:val="nil"/>
            </w:tcBorders>
            <w:vAlign w:val="bottom"/>
          </w:tcPr>
          <w:p>
            <w:pPr>
              <w:widowControl/>
              <w:jc w:val="right"/>
              <w:rPr>
                <w:b/>
                <w:kern w:val="0"/>
                <w:sz w:val="20"/>
              </w:rPr>
            </w:pPr>
            <w:r>
              <w:rPr>
                <w:b/>
                <w:kern w:val="0"/>
                <w:sz w:val="20"/>
              </w:rPr>
              <w:t xml:space="preserve">3,263,657,695.80 </w:t>
            </w:r>
          </w:p>
        </w:tc>
        <w:tc>
          <w:tcPr>
            <w:tcW w:w="2268" w:type="dxa"/>
            <w:tcBorders>
              <w:top w:val="nil"/>
              <w:left w:val="nil"/>
              <w:bottom w:val="nil"/>
              <w:right w:val="nil"/>
            </w:tcBorders>
            <w:vAlign w:val="bottom"/>
          </w:tcPr>
          <w:p>
            <w:pPr>
              <w:widowControl/>
              <w:jc w:val="right"/>
              <w:rPr>
                <w:b/>
                <w:kern w:val="0"/>
                <w:sz w:val="20"/>
              </w:rPr>
            </w:pPr>
            <w:r>
              <w:rPr>
                <w:b/>
                <w:kern w:val="0"/>
                <w:sz w:val="20"/>
              </w:rPr>
              <w:t>3,012,196,952.31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0" w:hRule="atLeast"/>
        </w:trPr>
        <w:tc>
          <w:tcPr>
            <w:tcW w:w="2693" w:type="dxa"/>
            <w:tcBorders>
              <w:top w:val="nil"/>
              <w:left w:val="nil"/>
              <w:bottom w:val="nil"/>
              <w:right w:val="nil"/>
            </w:tcBorders>
            <w:vAlign w:val="bottom"/>
          </w:tcPr>
          <w:p>
            <w:pPr>
              <w:widowControl/>
              <w:jc w:val="center"/>
              <w:rPr>
                <w:b/>
                <w:sz w:val="20"/>
              </w:rPr>
            </w:pPr>
            <w:r>
              <w:rPr>
                <w:rFonts w:hint="eastAsia"/>
                <w:b/>
                <w:sz w:val="20"/>
              </w:rPr>
              <w:t>資產總計</w:t>
            </w:r>
          </w:p>
        </w:tc>
        <w:tc>
          <w:tcPr>
            <w:tcW w:w="567" w:type="dxa"/>
            <w:tcBorders>
              <w:top w:val="nil"/>
              <w:left w:val="nil"/>
              <w:bottom w:val="nil"/>
              <w:right w:val="nil"/>
            </w:tcBorders>
            <w:vAlign w:val="bottom"/>
          </w:tcPr>
          <w:p>
            <w:pPr>
              <w:widowControl/>
              <w:jc w:val="center"/>
              <w:rPr>
                <w:b/>
                <w:sz w:val="20"/>
              </w:rPr>
            </w:pPr>
          </w:p>
        </w:tc>
        <w:tc>
          <w:tcPr>
            <w:tcW w:w="2410" w:type="dxa"/>
            <w:tcBorders>
              <w:top w:val="nil"/>
              <w:left w:val="nil"/>
              <w:bottom w:val="nil"/>
              <w:right w:val="nil"/>
            </w:tcBorders>
            <w:vAlign w:val="bottom"/>
          </w:tcPr>
          <w:p>
            <w:pPr>
              <w:widowControl/>
              <w:jc w:val="right"/>
              <w:rPr>
                <w:b/>
                <w:kern w:val="0"/>
                <w:sz w:val="20"/>
              </w:rPr>
            </w:pPr>
            <w:r>
              <w:rPr>
                <w:b/>
                <w:kern w:val="0"/>
                <w:sz w:val="20"/>
              </w:rPr>
              <w:t xml:space="preserve">5,273,647,124.63 </w:t>
            </w:r>
          </w:p>
        </w:tc>
        <w:tc>
          <w:tcPr>
            <w:tcW w:w="2268" w:type="dxa"/>
            <w:tcBorders>
              <w:top w:val="nil"/>
              <w:left w:val="nil"/>
              <w:bottom w:val="nil"/>
              <w:right w:val="nil"/>
            </w:tcBorders>
            <w:vAlign w:val="bottom"/>
          </w:tcPr>
          <w:p>
            <w:pPr>
              <w:widowControl/>
              <w:jc w:val="right"/>
              <w:rPr>
                <w:b/>
                <w:kern w:val="0"/>
                <w:sz w:val="20"/>
              </w:rPr>
            </w:pPr>
            <w:r>
              <w:rPr>
                <w:b/>
                <w:kern w:val="0"/>
                <w:sz w:val="20"/>
              </w:rPr>
              <w:t>4,722,785,963.84</w:t>
            </w:r>
          </w:p>
        </w:tc>
      </w:tr>
    </w:tbl>
    <w:p>
      <w:pPr>
        <w:pStyle w:val="24"/>
        <w:jc w:val="center"/>
        <w:rPr>
          <w:rFonts w:ascii="Times New Roman" w:hAnsi="Times New Roman"/>
          <w:b/>
          <w:sz w:val="22"/>
        </w:rPr>
      </w:pPr>
    </w:p>
    <w:p>
      <w:pPr>
        <w:spacing w:line="360" w:lineRule="exact"/>
        <w:rPr>
          <w:b/>
          <w:spacing w:val="20"/>
          <w:sz w:val="24"/>
        </w:rPr>
      </w:pPr>
    </w:p>
    <w:p>
      <w:pPr>
        <w:spacing w:line="360" w:lineRule="exact"/>
        <w:jc w:val="center"/>
        <w:rPr>
          <w:b/>
          <w:spacing w:val="20"/>
          <w:sz w:val="24"/>
          <w:lang w:eastAsia="zh-TW"/>
        </w:rPr>
      </w:pPr>
      <w:r>
        <w:rPr>
          <w:rFonts w:hint="eastAsia"/>
          <w:b/>
          <w:spacing w:val="20"/>
          <w:sz w:val="24"/>
          <w:lang w:eastAsia="zh-TW"/>
        </w:rPr>
        <w:t>合併資產負債表</w:t>
      </w:r>
      <w:r>
        <w:rPr>
          <w:rFonts w:hint="eastAsia"/>
          <w:b/>
          <w:sz w:val="22"/>
          <w:lang w:eastAsia="zh-TW"/>
        </w:rPr>
        <w:t>（經審計）</w:t>
      </w:r>
      <w:r>
        <w:rPr>
          <w:rFonts w:hint="eastAsia"/>
          <w:b/>
          <w:spacing w:val="20"/>
          <w:sz w:val="24"/>
          <w:lang w:eastAsia="zh-TW"/>
        </w:rPr>
        <w:t>（續）</w:t>
      </w:r>
    </w:p>
    <w:tbl>
      <w:tblPr>
        <w:tblW w:w="808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835"/>
        <w:gridCol w:w="567"/>
        <w:gridCol w:w="241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5" w:hRule="atLeast"/>
        </w:trPr>
        <w:tc>
          <w:tcPr>
            <w:tcW w:w="5812" w:type="dxa"/>
            <w:gridSpan w:val="3"/>
            <w:tcBorders>
              <w:top w:val="nil"/>
              <w:left w:val="nil"/>
              <w:bottom w:val="nil"/>
              <w:right w:val="nil"/>
            </w:tcBorders>
            <w:vAlign w:val="top"/>
          </w:tcPr>
          <w:p>
            <w:pPr>
              <w:rPr>
                <w:sz w:val="20"/>
                <w:lang w:eastAsia="zh-TW"/>
              </w:rPr>
            </w:pPr>
          </w:p>
        </w:tc>
        <w:tc>
          <w:tcPr>
            <w:tcW w:w="2268" w:type="dxa"/>
            <w:tcBorders>
              <w:top w:val="nil"/>
              <w:left w:val="nil"/>
              <w:bottom w:val="nil"/>
              <w:right w:val="nil"/>
            </w:tcBorders>
            <w:vAlign w:val="center"/>
          </w:tcPr>
          <w:p>
            <w:pPr>
              <w:jc w:val="right"/>
              <w:rPr>
                <w:sz w:val="20"/>
              </w:rPr>
            </w:pPr>
            <w:r>
              <w:rPr>
                <w:sz w:val="20"/>
                <w:lang w:eastAsia="zh-TW"/>
              </w:rPr>
              <w:t xml:space="preserve"> </w:t>
            </w:r>
            <w:r>
              <w:rPr>
                <w:rFonts w:hint="eastAsia"/>
                <w:sz w:val="20"/>
              </w:rPr>
              <w:t>單位：人民幣元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5" w:hRule="atLeast"/>
        </w:trPr>
        <w:tc>
          <w:tcPr>
            <w:tcW w:w="2835" w:type="dxa"/>
            <w:vAlign w:val="center"/>
          </w:tcPr>
          <w:p>
            <w:pPr>
              <w:jc w:val="center"/>
              <w:rPr>
                <w:b/>
                <w:sz w:val="20"/>
              </w:rPr>
            </w:pPr>
            <w:r>
              <w:rPr>
                <w:rFonts w:hint="eastAsia"/>
                <w:b/>
                <w:sz w:val="20"/>
              </w:rPr>
              <w:t>負債和股東權益</w:t>
            </w:r>
          </w:p>
        </w:tc>
        <w:tc>
          <w:tcPr>
            <w:tcW w:w="567" w:type="dxa"/>
            <w:vAlign w:val="center"/>
          </w:tcPr>
          <w:p>
            <w:pPr>
              <w:jc w:val="center"/>
              <w:rPr>
                <w:b/>
                <w:sz w:val="20"/>
              </w:rPr>
            </w:pPr>
            <w:r>
              <w:rPr>
                <w:rFonts w:hint="eastAsia"/>
                <w:b/>
                <w:sz w:val="20"/>
              </w:rPr>
              <w:t>附注</w:t>
            </w:r>
          </w:p>
        </w:tc>
        <w:tc>
          <w:tcPr>
            <w:tcW w:w="2410" w:type="dxa"/>
            <w:vAlign w:val="center"/>
          </w:tcPr>
          <w:p>
            <w:pPr>
              <w:jc w:val="center"/>
              <w:rPr>
                <w:b/>
                <w:sz w:val="20"/>
              </w:rPr>
            </w:pPr>
            <w:r>
              <w:rPr>
                <w:b/>
                <w:sz w:val="20"/>
              </w:rPr>
              <w:t>2017</w:t>
            </w:r>
            <w:r>
              <w:rPr>
                <w:rFonts w:hint="eastAsia"/>
                <w:b/>
                <w:sz w:val="20"/>
              </w:rPr>
              <w:t>年</w:t>
            </w:r>
            <w:r>
              <w:rPr>
                <w:b/>
                <w:sz w:val="20"/>
              </w:rPr>
              <w:t>12</w:t>
            </w:r>
            <w:r>
              <w:rPr>
                <w:rFonts w:hint="eastAsia"/>
                <w:b/>
                <w:sz w:val="20"/>
              </w:rPr>
              <w:t>月</w:t>
            </w:r>
            <w:r>
              <w:rPr>
                <w:b/>
                <w:sz w:val="20"/>
              </w:rPr>
              <w:t>31</w:t>
            </w:r>
            <w:r>
              <w:rPr>
                <w:rFonts w:hint="eastAsia"/>
                <w:b/>
                <w:sz w:val="20"/>
              </w:rPr>
              <w:t>日</w:t>
            </w:r>
          </w:p>
        </w:tc>
        <w:tc>
          <w:tcPr>
            <w:tcW w:w="2268" w:type="dxa"/>
            <w:vAlign w:val="center"/>
          </w:tcPr>
          <w:p>
            <w:pPr>
              <w:jc w:val="center"/>
              <w:rPr>
                <w:b/>
                <w:sz w:val="20"/>
              </w:rPr>
            </w:pPr>
            <w:r>
              <w:rPr>
                <w:b/>
                <w:sz w:val="20"/>
              </w:rPr>
              <w:t>2016</w:t>
            </w:r>
            <w:r>
              <w:rPr>
                <w:rFonts w:hint="eastAsia"/>
                <w:b/>
                <w:sz w:val="20"/>
              </w:rPr>
              <w:t>年</w:t>
            </w:r>
            <w:r>
              <w:rPr>
                <w:b/>
                <w:sz w:val="20"/>
              </w:rPr>
              <w:t>12</w:t>
            </w:r>
            <w:r>
              <w:rPr>
                <w:rFonts w:hint="eastAsia"/>
                <w:b/>
                <w:sz w:val="20"/>
              </w:rPr>
              <w:t>月</w:t>
            </w:r>
            <w:r>
              <w:rPr>
                <w:b/>
                <w:sz w:val="20"/>
              </w:rPr>
              <w:t>31</w:t>
            </w:r>
            <w:r>
              <w:rPr>
                <w:rFonts w:hint="eastAsia"/>
                <w:b/>
                <w:sz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0" w:hRule="atLeast"/>
        </w:trPr>
        <w:tc>
          <w:tcPr>
            <w:tcW w:w="2835" w:type="dxa"/>
            <w:tcBorders>
              <w:top w:val="nil"/>
              <w:left w:val="nil"/>
              <w:bottom w:val="nil"/>
              <w:right w:val="nil"/>
            </w:tcBorders>
            <w:vAlign w:val="center"/>
          </w:tcPr>
          <w:p>
            <w:pPr>
              <w:rPr>
                <w:sz w:val="20"/>
              </w:rPr>
            </w:pPr>
            <w:r>
              <w:rPr>
                <w:rFonts w:hint="eastAsia"/>
                <w:sz w:val="20"/>
              </w:rPr>
              <w:t>流動負債：</w:t>
            </w:r>
          </w:p>
        </w:tc>
        <w:tc>
          <w:tcPr>
            <w:tcW w:w="567" w:type="dxa"/>
            <w:tcBorders>
              <w:top w:val="nil"/>
              <w:left w:val="nil"/>
              <w:bottom w:val="nil"/>
              <w:right w:val="nil"/>
            </w:tcBorders>
            <w:vAlign w:val="top"/>
          </w:tcPr>
          <w:p>
            <w:pPr>
              <w:jc w:val="right"/>
              <w:rPr>
                <w:sz w:val="20"/>
              </w:rPr>
            </w:pPr>
          </w:p>
        </w:tc>
        <w:tc>
          <w:tcPr>
            <w:tcW w:w="2410" w:type="dxa"/>
            <w:tcBorders>
              <w:top w:val="nil"/>
              <w:left w:val="nil"/>
              <w:bottom w:val="nil"/>
              <w:right w:val="nil"/>
            </w:tcBorders>
            <w:vAlign w:val="center"/>
          </w:tcPr>
          <w:p>
            <w:pPr>
              <w:jc w:val="right"/>
              <w:rPr>
                <w:sz w:val="20"/>
              </w:rPr>
            </w:pPr>
            <w:r>
              <w:rPr>
                <w:rFonts w:hint="eastAsia"/>
                <w:sz w:val="20"/>
              </w:rPr>
              <w:t>　</w:t>
            </w:r>
          </w:p>
        </w:tc>
        <w:tc>
          <w:tcPr>
            <w:tcW w:w="2268" w:type="dxa"/>
            <w:tcBorders>
              <w:top w:val="nil"/>
              <w:left w:val="nil"/>
              <w:bottom w:val="nil"/>
              <w:right w:val="nil"/>
            </w:tcBorders>
            <w:vAlign w:val="center"/>
          </w:tcPr>
          <w:p>
            <w:pPr>
              <w:jc w:val="right"/>
              <w:rPr>
                <w:sz w:val="20"/>
              </w:rPr>
            </w:pPr>
            <w:r>
              <w:rPr>
                <w:rFonts w:hint="eastAsia"/>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0" w:hRule="atLeast"/>
        </w:trPr>
        <w:tc>
          <w:tcPr>
            <w:tcW w:w="2835" w:type="dxa"/>
            <w:tcBorders>
              <w:top w:val="nil"/>
              <w:left w:val="nil"/>
              <w:bottom w:val="nil"/>
              <w:right w:val="nil"/>
            </w:tcBorders>
            <w:vAlign w:val="center"/>
          </w:tcPr>
          <w:p>
            <w:pPr>
              <w:rPr>
                <w:sz w:val="20"/>
              </w:rPr>
            </w:pPr>
            <w:r>
              <w:rPr>
                <w:rFonts w:hint="eastAsia"/>
                <w:sz w:val="20"/>
              </w:rPr>
              <w:t>短期借款</w:t>
            </w:r>
          </w:p>
        </w:tc>
        <w:tc>
          <w:tcPr>
            <w:tcW w:w="567" w:type="dxa"/>
            <w:tcBorders>
              <w:top w:val="nil"/>
              <w:left w:val="nil"/>
              <w:bottom w:val="nil"/>
              <w:right w:val="nil"/>
            </w:tcBorders>
            <w:vAlign w:val="bottom"/>
          </w:tcPr>
          <w:p>
            <w:pPr>
              <w:jc w:val="center"/>
              <w:rPr>
                <w:sz w:val="20"/>
              </w:rPr>
            </w:pPr>
          </w:p>
        </w:tc>
        <w:tc>
          <w:tcPr>
            <w:tcW w:w="2410" w:type="dxa"/>
            <w:tcBorders>
              <w:top w:val="nil"/>
              <w:left w:val="nil"/>
              <w:bottom w:val="nil"/>
              <w:right w:val="nil"/>
            </w:tcBorders>
            <w:vAlign w:val="center"/>
          </w:tcPr>
          <w:p>
            <w:pPr>
              <w:widowControl/>
              <w:jc w:val="right"/>
              <w:rPr>
                <w:kern w:val="0"/>
                <w:sz w:val="20"/>
              </w:rPr>
            </w:pPr>
            <w:r>
              <w:rPr>
                <w:kern w:val="0"/>
                <w:sz w:val="20"/>
              </w:rPr>
              <w:t xml:space="preserve">151,837,507.11 </w:t>
            </w:r>
          </w:p>
        </w:tc>
        <w:tc>
          <w:tcPr>
            <w:tcW w:w="2268" w:type="dxa"/>
            <w:tcBorders>
              <w:top w:val="nil"/>
              <w:left w:val="nil"/>
              <w:bottom w:val="nil"/>
              <w:right w:val="nil"/>
            </w:tcBorders>
            <w:vAlign w:val="center"/>
          </w:tcPr>
          <w:p>
            <w:pPr>
              <w:widowControl/>
              <w:jc w:val="right"/>
              <w:rPr>
                <w:kern w:val="0"/>
                <w:sz w:val="20"/>
              </w:rPr>
            </w:pPr>
            <w:r>
              <w:rPr>
                <w:kern w:val="0"/>
                <w:sz w:val="20"/>
              </w:rPr>
              <w:t>910,000,000.00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0" w:hRule="atLeast"/>
        </w:trPr>
        <w:tc>
          <w:tcPr>
            <w:tcW w:w="2835" w:type="dxa"/>
            <w:tcBorders>
              <w:top w:val="nil"/>
              <w:left w:val="nil"/>
              <w:bottom w:val="nil"/>
              <w:right w:val="nil"/>
            </w:tcBorders>
            <w:vAlign w:val="center"/>
          </w:tcPr>
          <w:p>
            <w:pPr>
              <w:rPr>
                <w:sz w:val="20"/>
              </w:rPr>
            </w:pPr>
            <w:r>
              <w:rPr>
                <w:rFonts w:hint="eastAsia"/>
                <w:sz w:val="20"/>
              </w:rPr>
              <w:t>應付票據</w:t>
            </w:r>
          </w:p>
        </w:tc>
        <w:tc>
          <w:tcPr>
            <w:tcW w:w="567" w:type="dxa"/>
            <w:tcBorders>
              <w:top w:val="nil"/>
              <w:left w:val="nil"/>
              <w:bottom w:val="nil"/>
              <w:right w:val="nil"/>
            </w:tcBorders>
            <w:vAlign w:val="bottom"/>
          </w:tcPr>
          <w:p>
            <w:pPr>
              <w:jc w:val="center"/>
              <w:rPr>
                <w:sz w:val="20"/>
              </w:rPr>
            </w:pPr>
          </w:p>
        </w:tc>
        <w:tc>
          <w:tcPr>
            <w:tcW w:w="2410" w:type="dxa"/>
            <w:tcBorders>
              <w:top w:val="nil"/>
              <w:left w:val="nil"/>
              <w:bottom w:val="nil"/>
              <w:right w:val="nil"/>
            </w:tcBorders>
            <w:vAlign w:val="center"/>
          </w:tcPr>
          <w:p>
            <w:pPr>
              <w:widowControl/>
              <w:jc w:val="right"/>
              <w:rPr>
                <w:kern w:val="0"/>
                <w:sz w:val="20"/>
              </w:rPr>
            </w:pPr>
            <w:r>
              <w:rPr>
                <w:kern w:val="0"/>
                <w:sz w:val="20"/>
              </w:rPr>
              <w:t xml:space="preserve">208,227,829.37 </w:t>
            </w:r>
          </w:p>
        </w:tc>
        <w:tc>
          <w:tcPr>
            <w:tcW w:w="2268" w:type="dxa"/>
            <w:tcBorders>
              <w:top w:val="nil"/>
              <w:left w:val="nil"/>
              <w:bottom w:val="nil"/>
              <w:right w:val="nil"/>
            </w:tcBorders>
            <w:vAlign w:val="center"/>
          </w:tcPr>
          <w:p>
            <w:pPr>
              <w:widowControl/>
              <w:jc w:val="right"/>
              <w:rPr>
                <w:kern w:val="0"/>
                <w:sz w:val="20"/>
              </w:rPr>
            </w:pPr>
            <w:r>
              <w:rPr>
                <w:kern w:val="0"/>
                <w:sz w:val="20"/>
              </w:rPr>
              <w:t>254,077,627.50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0" w:hRule="atLeast"/>
        </w:trPr>
        <w:tc>
          <w:tcPr>
            <w:tcW w:w="2835" w:type="dxa"/>
            <w:tcBorders>
              <w:top w:val="nil"/>
              <w:left w:val="nil"/>
              <w:bottom w:val="nil"/>
              <w:right w:val="nil"/>
            </w:tcBorders>
            <w:vAlign w:val="center"/>
          </w:tcPr>
          <w:p>
            <w:pPr>
              <w:rPr>
                <w:sz w:val="20"/>
              </w:rPr>
            </w:pPr>
            <w:r>
              <w:rPr>
                <w:rFonts w:hint="eastAsia"/>
                <w:sz w:val="20"/>
              </w:rPr>
              <w:t>應付賬款</w:t>
            </w:r>
          </w:p>
        </w:tc>
        <w:tc>
          <w:tcPr>
            <w:tcW w:w="567" w:type="dxa"/>
            <w:tcBorders>
              <w:top w:val="nil"/>
              <w:left w:val="nil"/>
              <w:bottom w:val="nil"/>
              <w:right w:val="nil"/>
            </w:tcBorders>
            <w:vAlign w:val="bottom"/>
          </w:tcPr>
          <w:p>
            <w:pPr>
              <w:jc w:val="center"/>
              <w:rPr>
                <w:sz w:val="20"/>
              </w:rPr>
            </w:pPr>
            <w:r>
              <w:rPr>
                <w:sz w:val="20"/>
              </w:rPr>
              <w:t>5</w:t>
            </w:r>
          </w:p>
        </w:tc>
        <w:tc>
          <w:tcPr>
            <w:tcW w:w="2410" w:type="dxa"/>
            <w:tcBorders>
              <w:top w:val="nil"/>
              <w:left w:val="nil"/>
              <w:bottom w:val="nil"/>
              <w:right w:val="nil"/>
            </w:tcBorders>
            <w:vAlign w:val="center"/>
          </w:tcPr>
          <w:p>
            <w:pPr>
              <w:widowControl/>
              <w:jc w:val="right"/>
              <w:rPr>
                <w:kern w:val="0"/>
                <w:sz w:val="20"/>
              </w:rPr>
            </w:pPr>
            <w:r>
              <w:rPr>
                <w:kern w:val="0"/>
                <w:sz w:val="20"/>
              </w:rPr>
              <w:t xml:space="preserve">530,065,197.24 </w:t>
            </w:r>
          </w:p>
        </w:tc>
        <w:tc>
          <w:tcPr>
            <w:tcW w:w="2268" w:type="dxa"/>
            <w:tcBorders>
              <w:top w:val="nil"/>
              <w:left w:val="nil"/>
              <w:bottom w:val="nil"/>
              <w:right w:val="nil"/>
            </w:tcBorders>
            <w:vAlign w:val="center"/>
          </w:tcPr>
          <w:p>
            <w:pPr>
              <w:widowControl/>
              <w:jc w:val="right"/>
              <w:rPr>
                <w:kern w:val="0"/>
                <w:sz w:val="20"/>
              </w:rPr>
            </w:pPr>
            <w:r>
              <w:rPr>
                <w:kern w:val="0"/>
                <w:sz w:val="20"/>
              </w:rPr>
              <w:t>433,116,202.88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0" w:hRule="atLeast"/>
        </w:trPr>
        <w:tc>
          <w:tcPr>
            <w:tcW w:w="2835" w:type="dxa"/>
            <w:tcBorders>
              <w:top w:val="nil"/>
              <w:left w:val="nil"/>
              <w:bottom w:val="nil"/>
              <w:right w:val="nil"/>
            </w:tcBorders>
            <w:vAlign w:val="center"/>
          </w:tcPr>
          <w:p>
            <w:pPr>
              <w:rPr>
                <w:sz w:val="20"/>
              </w:rPr>
            </w:pPr>
            <w:r>
              <w:rPr>
                <w:rFonts w:hint="eastAsia"/>
                <w:sz w:val="20"/>
              </w:rPr>
              <w:t>預收款項</w:t>
            </w:r>
          </w:p>
        </w:tc>
        <w:tc>
          <w:tcPr>
            <w:tcW w:w="567" w:type="dxa"/>
            <w:tcBorders>
              <w:top w:val="nil"/>
              <w:left w:val="nil"/>
              <w:bottom w:val="nil"/>
              <w:right w:val="nil"/>
            </w:tcBorders>
            <w:vAlign w:val="bottom"/>
          </w:tcPr>
          <w:p>
            <w:pPr>
              <w:jc w:val="center"/>
              <w:rPr>
                <w:sz w:val="20"/>
              </w:rPr>
            </w:pPr>
          </w:p>
        </w:tc>
        <w:tc>
          <w:tcPr>
            <w:tcW w:w="2410" w:type="dxa"/>
            <w:tcBorders>
              <w:top w:val="nil"/>
              <w:left w:val="nil"/>
              <w:bottom w:val="nil"/>
              <w:right w:val="nil"/>
            </w:tcBorders>
            <w:vAlign w:val="center"/>
          </w:tcPr>
          <w:p>
            <w:pPr>
              <w:widowControl/>
              <w:jc w:val="right"/>
              <w:rPr>
                <w:kern w:val="0"/>
                <w:sz w:val="20"/>
              </w:rPr>
            </w:pPr>
            <w:r>
              <w:rPr>
                <w:kern w:val="0"/>
                <w:sz w:val="20"/>
              </w:rPr>
              <w:t xml:space="preserve">123,295,214.99 </w:t>
            </w:r>
          </w:p>
        </w:tc>
        <w:tc>
          <w:tcPr>
            <w:tcW w:w="2268" w:type="dxa"/>
            <w:tcBorders>
              <w:top w:val="nil"/>
              <w:left w:val="nil"/>
              <w:bottom w:val="nil"/>
              <w:right w:val="nil"/>
            </w:tcBorders>
            <w:vAlign w:val="center"/>
          </w:tcPr>
          <w:p>
            <w:pPr>
              <w:widowControl/>
              <w:jc w:val="right"/>
              <w:rPr>
                <w:kern w:val="0"/>
                <w:sz w:val="20"/>
              </w:rPr>
            </w:pPr>
            <w:r>
              <w:rPr>
                <w:kern w:val="0"/>
                <w:sz w:val="20"/>
              </w:rPr>
              <w:t>67,393,449.91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0" w:hRule="atLeast"/>
        </w:trPr>
        <w:tc>
          <w:tcPr>
            <w:tcW w:w="2835" w:type="dxa"/>
            <w:tcBorders>
              <w:top w:val="nil"/>
              <w:left w:val="nil"/>
              <w:bottom w:val="nil"/>
              <w:right w:val="nil"/>
            </w:tcBorders>
            <w:vAlign w:val="center"/>
          </w:tcPr>
          <w:p>
            <w:pPr>
              <w:rPr>
                <w:sz w:val="20"/>
              </w:rPr>
            </w:pPr>
            <w:r>
              <w:rPr>
                <w:rFonts w:hint="eastAsia"/>
                <w:sz w:val="20"/>
              </w:rPr>
              <w:t>應付職工薪酬</w:t>
            </w:r>
          </w:p>
        </w:tc>
        <w:tc>
          <w:tcPr>
            <w:tcW w:w="567" w:type="dxa"/>
            <w:tcBorders>
              <w:top w:val="nil"/>
              <w:left w:val="nil"/>
              <w:bottom w:val="nil"/>
              <w:right w:val="nil"/>
            </w:tcBorders>
            <w:vAlign w:val="bottom"/>
          </w:tcPr>
          <w:p>
            <w:pPr>
              <w:jc w:val="center"/>
              <w:rPr>
                <w:sz w:val="20"/>
              </w:rPr>
            </w:pPr>
            <w:r>
              <w:rPr>
                <w:sz w:val="20"/>
              </w:rPr>
              <w:t>6</w:t>
            </w:r>
          </w:p>
        </w:tc>
        <w:tc>
          <w:tcPr>
            <w:tcW w:w="2410" w:type="dxa"/>
            <w:tcBorders>
              <w:top w:val="nil"/>
              <w:left w:val="nil"/>
              <w:bottom w:val="nil"/>
              <w:right w:val="nil"/>
            </w:tcBorders>
            <w:vAlign w:val="center"/>
          </w:tcPr>
          <w:p>
            <w:pPr>
              <w:widowControl/>
              <w:jc w:val="right"/>
              <w:rPr>
                <w:kern w:val="0"/>
                <w:sz w:val="20"/>
              </w:rPr>
            </w:pPr>
            <w:r>
              <w:rPr>
                <w:kern w:val="0"/>
                <w:sz w:val="20"/>
              </w:rPr>
              <w:t xml:space="preserve">68,460,743.73 </w:t>
            </w:r>
          </w:p>
        </w:tc>
        <w:tc>
          <w:tcPr>
            <w:tcW w:w="2268" w:type="dxa"/>
            <w:tcBorders>
              <w:top w:val="nil"/>
              <w:left w:val="nil"/>
              <w:bottom w:val="nil"/>
              <w:right w:val="nil"/>
            </w:tcBorders>
            <w:vAlign w:val="center"/>
          </w:tcPr>
          <w:p>
            <w:pPr>
              <w:widowControl/>
              <w:jc w:val="right"/>
              <w:rPr>
                <w:kern w:val="0"/>
                <w:sz w:val="20"/>
              </w:rPr>
            </w:pPr>
            <w:r>
              <w:rPr>
                <w:kern w:val="0"/>
                <w:sz w:val="20"/>
              </w:rPr>
              <w:t>66,078,587.82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7" w:hRule="atLeast"/>
        </w:trPr>
        <w:tc>
          <w:tcPr>
            <w:tcW w:w="2835" w:type="dxa"/>
            <w:tcBorders>
              <w:top w:val="nil"/>
              <w:left w:val="nil"/>
              <w:bottom w:val="nil"/>
              <w:right w:val="nil"/>
            </w:tcBorders>
            <w:vAlign w:val="center"/>
          </w:tcPr>
          <w:p>
            <w:pPr>
              <w:rPr>
                <w:sz w:val="20"/>
              </w:rPr>
            </w:pPr>
            <w:r>
              <w:rPr>
                <w:rFonts w:hint="eastAsia"/>
                <w:sz w:val="20"/>
              </w:rPr>
              <w:t>應交稅費</w:t>
            </w:r>
          </w:p>
        </w:tc>
        <w:tc>
          <w:tcPr>
            <w:tcW w:w="567" w:type="dxa"/>
            <w:tcBorders>
              <w:top w:val="nil"/>
              <w:left w:val="nil"/>
              <w:bottom w:val="nil"/>
              <w:right w:val="nil"/>
            </w:tcBorders>
            <w:vAlign w:val="bottom"/>
          </w:tcPr>
          <w:p>
            <w:pPr>
              <w:jc w:val="center"/>
              <w:rPr>
                <w:sz w:val="20"/>
              </w:rPr>
            </w:pPr>
          </w:p>
        </w:tc>
        <w:tc>
          <w:tcPr>
            <w:tcW w:w="2410" w:type="dxa"/>
            <w:tcBorders>
              <w:top w:val="nil"/>
              <w:left w:val="nil"/>
              <w:bottom w:val="nil"/>
              <w:right w:val="nil"/>
            </w:tcBorders>
            <w:vAlign w:val="center"/>
          </w:tcPr>
          <w:p>
            <w:pPr>
              <w:widowControl/>
              <w:jc w:val="right"/>
              <w:rPr>
                <w:kern w:val="0"/>
                <w:sz w:val="20"/>
              </w:rPr>
            </w:pPr>
            <w:r>
              <w:rPr>
                <w:kern w:val="0"/>
                <w:sz w:val="20"/>
              </w:rPr>
              <w:t xml:space="preserve">11,997,561.61 </w:t>
            </w:r>
          </w:p>
        </w:tc>
        <w:tc>
          <w:tcPr>
            <w:tcW w:w="2268" w:type="dxa"/>
            <w:tcBorders>
              <w:top w:val="nil"/>
              <w:left w:val="nil"/>
              <w:bottom w:val="nil"/>
              <w:right w:val="nil"/>
            </w:tcBorders>
            <w:vAlign w:val="center"/>
          </w:tcPr>
          <w:p>
            <w:pPr>
              <w:widowControl/>
              <w:jc w:val="right"/>
              <w:rPr>
                <w:kern w:val="0"/>
                <w:sz w:val="20"/>
              </w:rPr>
            </w:pPr>
            <w:r>
              <w:rPr>
                <w:kern w:val="0"/>
                <w:sz w:val="20"/>
              </w:rPr>
              <w:t>17,694,627.36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64" w:hRule="atLeast"/>
        </w:trPr>
        <w:tc>
          <w:tcPr>
            <w:tcW w:w="2835" w:type="dxa"/>
            <w:tcBorders>
              <w:top w:val="nil"/>
              <w:left w:val="nil"/>
              <w:bottom w:val="nil"/>
              <w:right w:val="nil"/>
            </w:tcBorders>
            <w:vAlign w:val="center"/>
          </w:tcPr>
          <w:p>
            <w:pPr>
              <w:rPr>
                <w:sz w:val="20"/>
              </w:rPr>
            </w:pPr>
            <w:r>
              <w:rPr>
                <w:rFonts w:hint="eastAsia"/>
                <w:sz w:val="20"/>
              </w:rPr>
              <w:t>應付利息</w:t>
            </w:r>
          </w:p>
        </w:tc>
        <w:tc>
          <w:tcPr>
            <w:tcW w:w="567" w:type="dxa"/>
            <w:tcBorders>
              <w:top w:val="nil"/>
              <w:left w:val="nil"/>
              <w:bottom w:val="nil"/>
              <w:right w:val="nil"/>
            </w:tcBorders>
            <w:vAlign w:val="bottom"/>
          </w:tcPr>
          <w:p>
            <w:pPr>
              <w:jc w:val="center"/>
              <w:rPr>
                <w:sz w:val="20"/>
              </w:rPr>
            </w:pPr>
          </w:p>
        </w:tc>
        <w:tc>
          <w:tcPr>
            <w:tcW w:w="2410" w:type="dxa"/>
            <w:tcBorders>
              <w:top w:val="nil"/>
              <w:left w:val="nil"/>
              <w:bottom w:val="nil"/>
              <w:right w:val="nil"/>
            </w:tcBorders>
            <w:vAlign w:val="top"/>
          </w:tcPr>
          <w:p>
            <w:pPr>
              <w:widowControl/>
              <w:jc w:val="right"/>
              <w:rPr>
                <w:sz w:val="22"/>
              </w:rPr>
            </w:pPr>
            <w:r>
              <w:rPr>
                <w:kern w:val="0"/>
                <w:sz w:val="20"/>
              </w:rPr>
              <w:t>2,238,698.12</w:t>
            </w:r>
          </w:p>
        </w:tc>
        <w:tc>
          <w:tcPr>
            <w:tcW w:w="2268" w:type="dxa"/>
            <w:tcBorders>
              <w:top w:val="nil"/>
              <w:left w:val="nil"/>
              <w:bottom w:val="nil"/>
              <w:right w:val="nil"/>
            </w:tcBorders>
            <w:vAlign w:val="top"/>
          </w:tcPr>
          <w:p>
            <w:pPr>
              <w:widowControl/>
              <w:jc w:val="right"/>
              <w:rPr>
                <w:kern w:val="0"/>
                <w:sz w:val="20"/>
              </w:rPr>
            </w:pPr>
            <w:r>
              <w:rPr>
                <w:kern w:val="0"/>
                <w:sz w:val="20"/>
              </w:rPr>
              <w:t>3,902,110.16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0" w:hRule="atLeast"/>
        </w:trPr>
        <w:tc>
          <w:tcPr>
            <w:tcW w:w="2835" w:type="dxa"/>
            <w:tcBorders>
              <w:top w:val="nil"/>
              <w:left w:val="nil"/>
              <w:bottom w:val="nil"/>
              <w:right w:val="nil"/>
            </w:tcBorders>
            <w:vAlign w:val="center"/>
          </w:tcPr>
          <w:p>
            <w:pPr>
              <w:rPr>
                <w:sz w:val="20"/>
              </w:rPr>
            </w:pPr>
            <w:r>
              <w:rPr>
                <w:rFonts w:hint="eastAsia"/>
                <w:sz w:val="20"/>
              </w:rPr>
              <w:t>應付股利</w:t>
            </w:r>
          </w:p>
        </w:tc>
        <w:tc>
          <w:tcPr>
            <w:tcW w:w="567" w:type="dxa"/>
            <w:tcBorders>
              <w:top w:val="nil"/>
              <w:left w:val="nil"/>
              <w:bottom w:val="nil"/>
              <w:right w:val="nil"/>
            </w:tcBorders>
            <w:vAlign w:val="bottom"/>
          </w:tcPr>
          <w:p>
            <w:pPr>
              <w:jc w:val="center"/>
              <w:rPr>
                <w:sz w:val="20"/>
              </w:rPr>
            </w:pPr>
          </w:p>
        </w:tc>
        <w:tc>
          <w:tcPr>
            <w:tcW w:w="2410" w:type="dxa"/>
            <w:tcBorders>
              <w:top w:val="nil"/>
              <w:left w:val="nil"/>
              <w:bottom w:val="nil"/>
              <w:right w:val="nil"/>
            </w:tcBorders>
            <w:vAlign w:val="center"/>
          </w:tcPr>
          <w:p>
            <w:pPr>
              <w:widowControl/>
              <w:jc w:val="right"/>
              <w:rPr>
                <w:kern w:val="0"/>
                <w:sz w:val="20"/>
              </w:rPr>
            </w:pPr>
            <w:r>
              <w:rPr>
                <w:kern w:val="0"/>
                <w:sz w:val="20"/>
              </w:rPr>
              <w:t xml:space="preserve">19,661,202.16 </w:t>
            </w:r>
          </w:p>
        </w:tc>
        <w:tc>
          <w:tcPr>
            <w:tcW w:w="2268" w:type="dxa"/>
            <w:tcBorders>
              <w:top w:val="nil"/>
              <w:left w:val="nil"/>
              <w:bottom w:val="nil"/>
              <w:right w:val="nil"/>
            </w:tcBorders>
            <w:vAlign w:val="center"/>
          </w:tcPr>
          <w:p>
            <w:pPr>
              <w:widowControl/>
              <w:jc w:val="right"/>
              <w:rPr>
                <w:kern w:val="0"/>
                <w:sz w:val="20"/>
              </w:rPr>
            </w:pPr>
            <w:r>
              <w:rPr>
                <w:kern w:val="0"/>
                <w:sz w:val="20"/>
              </w:rPr>
              <w:t>5,310,599.55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0" w:hRule="atLeast"/>
        </w:trPr>
        <w:tc>
          <w:tcPr>
            <w:tcW w:w="2835" w:type="dxa"/>
            <w:tcBorders>
              <w:top w:val="nil"/>
              <w:left w:val="nil"/>
              <w:bottom w:val="nil"/>
              <w:right w:val="nil"/>
            </w:tcBorders>
            <w:vAlign w:val="center"/>
          </w:tcPr>
          <w:p>
            <w:pPr>
              <w:rPr>
                <w:sz w:val="20"/>
              </w:rPr>
            </w:pPr>
            <w:r>
              <w:rPr>
                <w:rFonts w:hint="eastAsia"/>
                <w:sz w:val="20"/>
              </w:rPr>
              <w:t>其他應付款</w:t>
            </w:r>
          </w:p>
        </w:tc>
        <w:tc>
          <w:tcPr>
            <w:tcW w:w="567" w:type="dxa"/>
            <w:tcBorders>
              <w:top w:val="nil"/>
              <w:left w:val="nil"/>
              <w:bottom w:val="nil"/>
              <w:right w:val="nil"/>
            </w:tcBorders>
            <w:vAlign w:val="bottom"/>
          </w:tcPr>
          <w:p>
            <w:pPr>
              <w:jc w:val="center"/>
              <w:rPr>
                <w:sz w:val="20"/>
              </w:rPr>
            </w:pPr>
          </w:p>
        </w:tc>
        <w:tc>
          <w:tcPr>
            <w:tcW w:w="2410" w:type="dxa"/>
            <w:tcBorders>
              <w:top w:val="nil"/>
              <w:left w:val="nil"/>
              <w:bottom w:val="nil"/>
              <w:right w:val="nil"/>
            </w:tcBorders>
            <w:vAlign w:val="center"/>
          </w:tcPr>
          <w:p>
            <w:pPr>
              <w:widowControl/>
              <w:jc w:val="right"/>
              <w:rPr>
                <w:kern w:val="0"/>
                <w:sz w:val="20"/>
              </w:rPr>
            </w:pPr>
            <w:r>
              <w:rPr>
                <w:kern w:val="0"/>
                <w:sz w:val="20"/>
              </w:rPr>
              <w:t xml:space="preserve">280,114,731.95 </w:t>
            </w:r>
          </w:p>
        </w:tc>
        <w:tc>
          <w:tcPr>
            <w:tcW w:w="2268" w:type="dxa"/>
            <w:tcBorders>
              <w:top w:val="nil"/>
              <w:left w:val="nil"/>
              <w:bottom w:val="nil"/>
              <w:right w:val="nil"/>
            </w:tcBorders>
            <w:vAlign w:val="center"/>
          </w:tcPr>
          <w:p>
            <w:pPr>
              <w:widowControl/>
              <w:jc w:val="right"/>
              <w:rPr>
                <w:kern w:val="0"/>
                <w:sz w:val="20"/>
              </w:rPr>
            </w:pPr>
            <w:r>
              <w:rPr>
                <w:kern w:val="0"/>
                <w:sz w:val="20"/>
              </w:rPr>
              <w:t>163,347,304.20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0" w:hRule="atLeast"/>
        </w:trPr>
        <w:tc>
          <w:tcPr>
            <w:tcW w:w="2835" w:type="dxa"/>
            <w:tcBorders>
              <w:top w:val="nil"/>
              <w:left w:val="nil"/>
              <w:bottom w:val="nil"/>
              <w:right w:val="nil"/>
            </w:tcBorders>
            <w:vAlign w:val="center"/>
          </w:tcPr>
          <w:p>
            <w:pPr>
              <w:rPr>
                <w:sz w:val="20"/>
                <w:lang w:eastAsia="zh-TW"/>
              </w:rPr>
            </w:pPr>
            <w:r>
              <w:rPr>
                <w:rFonts w:hint="eastAsia"/>
                <w:sz w:val="20"/>
                <w:lang w:eastAsia="zh-TW"/>
              </w:rPr>
              <w:t>一年內到期的非流動負債</w:t>
            </w:r>
          </w:p>
        </w:tc>
        <w:tc>
          <w:tcPr>
            <w:tcW w:w="567" w:type="dxa"/>
            <w:tcBorders>
              <w:top w:val="nil"/>
              <w:left w:val="nil"/>
              <w:bottom w:val="nil"/>
              <w:right w:val="nil"/>
            </w:tcBorders>
            <w:vAlign w:val="bottom"/>
          </w:tcPr>
          <w:p>
            <w:pPr>
              <w:jc w:val="center"/>
              <w:rPr>
                <w:sz w:val="20"/>
                <w:lang w:eastAsia="zh-TW"/>
              </w:rPr>
            </w:pPr>
          </w:p>
        </w:tc>
        <w:tc>
          <w:tcPr>
            <w:tcW w:w="2410" w:type="dxa"/>
            <w:tcBorders>
              <w:top w:val="nil"/>
              <w:left w:val="nil"/>
              <w:bottom w:val="nil"/>
              <w:right w:val="nil"/>
            </w:tcBorders>
            <w:vAlign w:val="center"/>
          </w:tcPr>
          <w:p>
            <w:pPr>
              <w:widowControl/>
              <w:jc w:val="right"/>
              <w:rPr>
                <w:kern w:val="0"/>
                <w:sz w:val="20"/>
              </w:rPr>
            </w:pPr>
            <w:r>
              <w:rPr>
                <w:kern w:val="0"/>
                <w:sz w:val="20"/>
              </w:rPr>
              <w:t xml:space="preserve">89,621,673.88 </w:t>
            </w:r>
          </w:p>
        </w:tc>
        <w:tc>
          <w:tcPr>
            <w:tcW w:w="2268" w:type="dxa"/>
            <w:tcBorders>
              <w:top w:val="nil"/>
              <w:left w:val="nil"/>
              <w:bottom w:val="nil"/>
              <w:right w:val="nil"/>
            </w:tcBorders>
            <w:vAlign w:val="center"/>
          </w:tcPr>
          <w:p>
            <w:pPr>
              <w:widowControl/>
              <w:jc w:val="right"/>
              <w:rPr>
                <w:kern w:val="0"/>
                <w:sz w:val="20"/>
              </w:rPr>
            </w:pPr>
            <w:r>
              <w:rPr>
                <w:kern w:val="0"/>
                <w:sz w:val="20"/>
              </w:rPr>
              <w:t>344,854,126.83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0" w:hRule="atLeast"/>
        </w:trPr>
        <w:tc>
          <w:tcPr>
            <w:tcW w:w="2835" w:type="dxa"/>
            <w:tcBorders>
              <w:top w:val="nil"/>
              <w:left w:val="nil"/>
              <w:bottom w:val="nil"/>
              <w:right w:val="nil"/>
            </w:tcBorders>
            <w:vAlign w:val="center"/>
          </w:tcPr>
          <w:p>
            <w:pPr>
              <w:rPr>
                <w:sz w:val="20"/>
              </w:rPr>
            </w:pPr>
            <w:r>
              <w:rPr>
                <w:rFonts w:hint="eastAsia"/>
                <w:sz w:val="20"/>
              </w:rPr>
              <w:t>其他流動負債</w:t>
            </w:r>
          </w:p>
        </w:tc>
        <w:tc>
          <w:tcPr>
            <w:tcW w:w="567" w:type="dxa"/>
            <w:tcBorders>
              <w:top w:val="nil"/>
              <w:left w:val="nil"/>
              <w:bottom w:val="nil"/>
              <w:right w:val="nil"/>
            </w:tcBorders>
            <w:vAlign w:val="bottom"/>
          </w:tcPr>
          <w:p>
            <w:pPr>
              <w:jc w:val="center"/>
              <w:rPr>
                <w:sz w:val="20"/>
              </w:rPr>
            </w:pPr>
          </w:p>
        </w:tc>
        <w:tc>
          <w:tcPr>
            <w:tcW w:w="2410" w:type="dxa"/>
            <w:tcBorders>
              <w:top w:val="nil"/>
              <w:left w:val="nil"/>
              <w:bottom w:val="nil"/>
              <w:right w:val="nil"/>
            </w:tcBorders>
            <w:vAlign w:val="center"/>
          </w:tcPr>
          <w:p>
            <w:pPr>
              <w:widowControl/>
              <w:jc w:val="right"/>
              <w:rPr>
                <w:kern w:val="0"/>
                <w:sz w:val="20"/>
              </w:rPr>
            </w:pPr>
            <w:r>
              <w:rPr>
                <w:kern w:val="0"/>
                <w:sz w:val="20"/>
              </w:rPr>
              <w:t xml:space="preserve">5,319,000.00 </w:t>
            </w:r>
          </w:p>
        </w:tc>
        <w:tc>
          <w:tcPr>
            <w:tcW w:w="2268" w:type="dxa"/>
            <w:tcBorders>
              <w:top w:val="nil"/>
              <w:left w:val="nil"/>
              <w:bottom w:val="nil"/>
              <w:right w:val="nil"/>
            </w:tcBorders>
            <w:vAlign w:val="center"/>
          </w:tcPr>
          <w:p>
            <w:pPr>
              <w:widowControl/>
              <w:jc w:val="right"/>
              <w:rPr>
                <w:kern w:val="0"/>
                <w:sz w:val="20"/>
              </w:rPr>
            </w:pPr>
            <w:r>
              <w:rPr>
                <w:kern w:val="0"/>
                <w:sz w:val="20"/>
              </w:rPr>
              <w:t>4,732,000.00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0" w:hRule="atLeast"/>
        </w:trPr>
        <w:tc>
          <w:tcPr>
            <w:tcW w:w="2835" w:type="dxa"/>
            <w:tcBorders>
              <w:top w:val="nil"/>
              <w:left w:val="nil"/>
              <w:bottom w:val="nil"/>
              <w:right w:val="nil"/>
            </w:tcBorders>
            <w:vAlign w:val="center"/>
          </w:tcPr>
          <w:p>
            <w:pPr>
              <w:jc w:val="center"/>
              <w:rPr>
                <w:b/>
                <w:sz w:val="20"/>
              </w:rPr>
            </w:pPr>
            <w:r>
              <w:rPr>
                <w:rFonts w:hint="eastAsia"/>
                <w:b/>
                <w:sz w:val="20"/>
              </w:rPr>
              <w:t>流動負債合計</w:t>
            </w:r>
          </w:p>
        </w:tc>
        <w:tc>
          <w:tcPr>
            <w:tcW w:w="567" w:type="dxa"/>
            <w:tcBorders>
              <w:top w:val="nil"/>
              <w:left w:val="nil"/>
              <w:bottom w:val="nil"/>
              <w:right w:val="nil"/>
            </w:tcBorders>
            <w:vAlign w:val="bottom"/>
          </w:tcPr>
          <w:p>
            <w:pPr>
              <w:jc w:val="center"/>
              <w:rPr>
                <w:b/>
                <w:sz w:val="20"/>
              </w:rPr>
            </w:pPr>
          </w:p>
        </w:tc>
        <w:tc>
          <w:tcPr>
            <w:tcW w:w="2410" w:type="dxa"/>
            <w:tcBorders>
              <w:top w:val="nil"/>
              <w:left w:val="nil"/>
              <w:bottom w:val="nil"/>
              <w:right w:val="nil"/>
            </w:tcBorders>
            <w:vAlign w:val="center"/>
          </w:tcPr>
          <w:p>
            <w:pPr>
              <w:widowControl/>
              <w:jc w:val="right"/>
              <w:rPr>
                <w:b/>
                <w:kern w:val="0"/>
                <w:sz w:val="20"/>
              </w:rPr>
            </w:pPr>
            <w:r>
              <w:rPr>
                <w:b/>
                <w:kern w:val="0"/>
                <w:sz w:val="20"/>
              </w:rPr>
              <w:t xml:space="preserve">1,490,839,360.16 </w:t>
            </w:r>
          </w:p>
        </w:tc>
        <w:tc>
          <w:tcPr>
            <w:tcW w:w="2268" w:type="dxa"/>
            <w:tcBorders>
              <w:top w:val="nil"/>
              <w:left w:val="nil"/>
              <w:bottom w:val="nil"/>
              <w:right w:val="nil"/>
            </w:tcBorders>
            <w:vAlign w:val="center"/>
          </w:tcPr>
          <w:p>
            <w:pPr>
              <w:widowControl/>
              <w:jc w:val="right"/>
              <w:rPr>
                <w:b/>
                <w:kern w:val="0"/>
                <w:sz w:val="20"/>
              </w:rPr>
            </w:pPr>
            <w:r>
              <w:rPr>
                <w:b/>
                <w:kern w:val="0"/>
                <w:sz w:val="20"/>
              </w:rPr>
              <w:t>2,270,506,636.21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0" w:hRule="atLeast"/>
        </w:trPr>
        <w:tc>
          <w:tcPr>
            <w:tcW w:w="2835" w:type="dxa"/>
            <w:tcBorders>
              <w:top w:val="nil"/>
              <w:left w:val="nil"/>
              <w:bottom w:val="nil"/>
              <w:right w:val="nil"/>
            </w:tcBorders>
            <w:vAlign w:val="center"/>
          </w:tcPr>
          <w:p>
            <w:pPr>
              <w:rPr>
                <w:rFonts w:cs="宋体"/>
                <w:sz w:val="20"/>
                <w:lang w:eastAsia="zh-TW"/>
              </w:rPr>
            </w:pPr>
          </w:p>
          <w:p>
            <w:pPr>
              <w:rPr>
                <w:sz w:val="20"/>
              </w:rPr>
            </w:pPr>
            <w:r>
              <w:rPr>
                <w:rFonts w:hint="eastAsia"/>
                <w:sz w:val="20"/>
              </w:rPr>
              <w:t>非流動負債：</w:t>
            </w:r>
          </w:p>
        </w:tc>
        <w:tc>
          <w:tcPr>
            <w:tcW w:w="567" w:type="dxa"/>
            <w:tcBorders>
              <w:top w:val="nil"/>
              <w:left w:val="nil"/>
              <w:bottom w:val="nil"/>
              <w:right w:val="nil"/>
            </w:tcBorders>
            <w:vAlign w:val="bottom"/>
          </w:tcPr>
          <w:p>
            <w:pPr>
              <w:jc w:val="center"/>
              <w:rPr>
                <w:sz w:val="20"/>
              </w:rPr>
            </w:pPr>
          </w:p>
        </w:tc>
        <w:tc>
          <w:tcPr>
            <w:tcW w:w="2410" w:type="dxa"/>
            <w:tcBorders>
              <w:top w:val="nil"/>
              <w:left w:val="nil"/>
              <w:bottom w:val="nil"/>
              <w:right w:val="nil"/>
            </w:tcBorders>
            <w:vAlign w:val="center"/>
          </w:tcPr>
          <w:p>
            <w:pPr>
              <w:widowControl/>
              <w:jc w:val="right"/>
              <w:rPr>
                <w:kern w:val="0"/>
                <w:sz w:val="20"/>
              </w:rPr>
            </w:pPr>
          </w:p>
        </w:tc>
        <w:tc>
          <w:tcPr>
            <w:tcW w:w="2268" w:type="dxa"/>
            <w:tcBorders>
              <w:top w:val="nil"/>
              <w:left w:val="nil"/>
              <w:bottom w:val="nil"/>
              <w:right w:val="nil"/>
            </w:tcBorders>
            <w:vAlign w:val="center"/>
          </w:tcPr>
          <w:p>
            <w:pPr>
              <w:widowControl/>
              <w:jc w:val="right"/>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0" w:hRule="atLeast"/>
        </w:trPr>
        <w:tc>
          <w:tcPr>
            <w:tcW w:w="2835" w:type="dxa"/>
            <w:tcBorders>
              <w:top w:val="nil"/>
              <w:left w:val="nil"/>
              <w:bottom w:val="nil"/>
              <w:right w:val="nil"/>
            </w:tcBorders>
            <w:vAlign w:val="center"/>
          </w:tcPr>
          <w:p>
            <w:pPr>
              <w:rPr>
                <w:sz w:val="20"/>
              </w:rPr>
            </w:pPr>
            <w:r>
              <w:rPr>
                <w:rFonts w:hint="eastAsia"/>
                <w:sz w:val="20"/>
              </w:rPr>
              <w:t>長期借款</w:t>
            </w:r>
          </w:p>
        </w:tc>
        <w:tc>
          <w:tcPr>
            <w:tcW w:w="567" w:type="dxa"/>
            <w:tcBorders>
              <w:top w:val="nil"/>
              <w:left w:val="nil"/>
              <w:bottom w:val="nil"/>
              <w:right w:val="nil"/>
            </w:tcBorders>
            <w:vAlign w:val="bottom"/>
          </w:tcPr>
          <w:p>
            <w:pPr>
              <w:jc w:val="center"/>
              <w:rPr>
                <w:sz w:val="20"/>
              </w:rPr>
            </w:pPr>
          </w:p>
        </w:tc>
        <w:tc>
          <w:tcPr>
            <w:tcW w:w="2410" w:type="dxa"/>
            <w:tcBorders>
              <w:top w:val="nil"/>
              <w:left w:val="nil"/>
              <w:bottom w:val="nil"/>
              <w:right w:val="nil"/>
            </w:tcBorders>
            <w:vAlign w:val="center"/>
          </w:tcPr>
          <w:p>
            <w:pPr>
              <w:widowControl/>
              <w:jc w:val="right"/>
              <w:rPr>
                <w:kern w:val="0"/>
                <w:sz w:val="20"/>
              </w:rPr>
            </w:pPr>
            <w:r>
              <w:rPr>
                <w:kern w:val="0"/>
                <w:sz w:val="20"/>
              </w:rPr>
              <w:t xml:space="preserve">931,500,000.00 </w:t>
            </w:r>
          </w:p>
        </w:tc>
        <w:tc>
          <w:tcPr>
            <w:tcW w:w="2268" w:type="dxa"/>
            <w:tcBorders>
              <w:top w:val="nil"/>
              <w:left w:val="nil"/>
              <w:bottom w:val="nil"/>
              <w:right w:val="nil"/>
            </w:tcBorders>
            <w:vAlign w:val="center"/>
          </w:tcPr>
          <w:p>
            <w:pPr>
              <w:widowControl/>
              <w:jc w:val="right"/>
              <w:rPr>
                <w:kern w:val="0"/>
                <w:sz w:val="20"/>
              </w:rPr>
            </w:pPr>
            <w:r>
              <w:rPr>
                <w:kern w:val="0"/>
                <w:sz w:val="20"/>
              </w:rPr>
              <w:t>100,000,000.00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0" w:hRule="atLeast"/>
        </w:trPr>
        <w:tc>
          <w:tcPr>
            <w:tcW w:w="2835" w:type="dxa"/>
            <w:tcBorders>
              <w:top w:val="nil"/>
              <w:left w:val="nil"/>
              <w:bottom w:val="nil"/>
              <w:right w:val="nil"/>
            </w:tcBorders>
            <w:vAlign w:val="center"/>
          </w:tcPr>
          <w:p>
            <w:pPr>
              <w:rPr>
                <w:sz w:val="20"/>
              </w:rPr>
            </w:pPr>
            <w:r>
              <w:rPr>
                <w:rFonts w:hint="eastAsia"/>
                <w:sz w:val="20"/>
              </w:rPr>
              <w:t>長期應付款</w:t>
            </w:r>
          </w:p>
        </w:tc>
        <w:tc>
          <w:tcPr>
            <w:tcW w:w="567" w:type="dxa"/>
            <w:tcBorders>
              <w:top w:val="nil"/>
              <w:left w:val="nil"/>
              <w:bottom w:val="nil"/>
              <w:right w:val="nil"/>
            </w:tcBorders>
            <w:vAlign w:val="bottom"/>
          </w:tcPr>
          <w:p>
            <w:pPr>
              <w:jc w:val="center"/>
              <w:rPr>
                <w:sz w:val="20"/>
              </w:rPr>
            </w:pPr>
          </w:p>
        </w:tc>
        <w:tc>
          <w:tcPr>
            <w:tcW w:w="2410" w:type="dxa"/>
            <w:tcBorders>
              <w:top w:val="nil"/>
              <w:left w:val="nil"/>
              <w:bottom w:val="nil"/>
              <w:right w:val="nil"/>
            </w:tcBorders>
            <w:vAlign w:val="center"/>
          </w:tcPr>
          <w:p>
            <w:pPr>
              <w:widowControl/>
              <w:jc w:val="right"/>
              <w:rPr>
                <w:kern w:val="0"/>
                <w:sz w:val="20"/>
              </w:rPr>
            </w:pPr>
            <w:r>
              <w:rPr>
                <w:kern w:val="0"/>
                <w:sz w:val="20"/>
              </w:rPr>
              <w:t xml:space="preserve">47,541,721.66 </w:t>
            </w:r>
          </w:p>
        </w:tc>
        <w:tc>
          <w:tcPr>
            <w:tcW w:w="2268" w:type="dxa"/>
            <w:tcBorders>
              <w:top w:val="nil"/>
              <w:left w:val="nil"/>
              <w:bottom w:val="nil"/>
              <w:right w:val="nil"/>
            </w:tcBorders>
            <w:vAlign w:val="center"/>
          </w:tcPr>
          <w:p>
            <w:pPr>
              <w:widowControl/>
              <w:jc w:val="right"/>
              <w:rPr>
                <w:kern w:val="0"/>
                <w:sz w:val="20"/>
              </w:rPr>
            </w:pPr>
            <w:r>
              <w:rPr>
                <w:kern w:val="0"/>
                <w:sz w:val="20"/>
              </w:rPr>
              <w:t>64,938,492.33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0" w:hRule="atLeast"/>
        </w:trPr>
        <w:tc>
          <w:tcPr>
            <w:tcW w:w="2835" w:type="dxa"/>
            <w:tcBorders>
              <w:top w:val="nil"/>
              <w:left w:val="nil"/>
              <w:bottom w:val="nil"/>
              <w:right w:val="nil"/>
            </w:tcBorders>
            <w:vAlign w:val="center"/>
          </w:tcPr>
          <w:p>
            <w:pPr>
              <w:rPr>
                <w:sz w:val="20"/>
              </w:rPr>
            </w:pPr>
            <w:r>
              <w:rPr>
                <w:rFonts w:hint="eastAsia"/>
                <w:sz w:val="20"/>
              </w:rPr>
              <w:t>專項應付款</w:t>
            </w:r>
          </w:p>
        </w:tc>
        <w:tc>
          <w:tcPr>
            <w:tcW w:w="567" w:type="dxa"/>
            <w:tcBorders>
              <w:top w:val="nil"/>
              <w:left w:val="nil"/>
              <w:bottom w:val="nil"/>
              <w:right w:val="nil"/>
            </w:tcBorders>
            <w:vAlign w:val="bottom"/>
          </w:tcPr>
          <w:p>
            <w:pPr>
              <w:jc w:val="center"/>
              <w:rPr>
                <w:sz w:val="20"/>
              </w:rPr>
            </w:pPr>
          </w:p>
        </w:tc>
        <w:tc>
          <w:tcPr>
            <w:tcW w:w="2410" w:type="dxa"/>
            <w:tcBorders>
              <w:top w:val="nil"/>
              <w:left w:val="nil"/>
              <w:bottom w:val="nil"/>
              <w:right w:val="nil"/>
            </w:tcBorders>
            <w:vAlign w:val="center"/>
          </w:tcPr>
          <w:p>
            <w:pPr>
              <w:widowControl/>
              <w:jc w:val="right"/>
              <w:rPr>
                <w:kern w:val="0"/>
                <w:sz w:val="20"/>
              </w:rPr>
            </w:pPr>
            <w:r>
              <w:rPr>
                <w:kern w:val="0"/>
                <w:sz w:val="20"/>
              </w:rPr>
              <w:t xml:space="preserve">71,960,000.00 </w:t>
            </w:r>
          </w:p>
        </w:tc>
        <w:tc>
          <w:tcPr>
            <w:tcW w:w="2268" w:type="dxa"/>
            <w:tcBorders>
              <w:top w:val="nil"/>
              <w:left w:val="nil"/>
              <w:bottom w:val="nil"/>
              <w:right w:val="nil"/>
            </w:tcBorders>
            <w:vAlign w:val="center"/>
          </w:tcPr>
          <w:p>
            <w:pPr>
              <w:widowControl/>
              <w:jc w:val="right"/>
              <w:rPr>
                <w:kern w:val="0"/>
                <w:sz w:val="20"/>
              </w:rPr>
            </w:pPr>
            <w:r>
              <w:rPr>
                <w:kern w:val="0"/>
                <w:sz w:val="20"/>
              </w:rPr>
              <w:t>84,960,000.00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0" w:hRule="atLeast"/>
        </w:trPr>
        <w:tc>
          <w:tcPr>
            <w:tcW w:w="2835" w:type="dxa"/>
            <w:tcBorders>
              <w:top w:val="nil"/>
              <w:left w:val="nil"/>
              <w:bottom w:val="nil"/>
              <w:right w:val="nil"/>
            </w:tcBorders>
            <w:vAlign w:val="center"/>
          </w:tcPr>
          <w:p>
            <w:pPr>
              <w:rPr>
                <w:sz w:val="20"/>
              </w:rPr>
            </w:pPr>
            <w:r>
              <w:rPr>
                <w:rFonts w:hint="eastAsia"/>
                <w:sz w:val="20"/>
              </w:rPr>
              <w:t>預計負債</w:t>
            </w:r>
          </w:p>
        </w:tc>
        <w:tc>
          <w:tcPr>
            <w:tcW w:w="567" w:type="dxa"/>
            <w:tcBorders>
              <w:top w:val="nil"/>
              <w:left w:val="nil"/>
              <w:bottom w:val="nil"/>
              <w:right w:val="nil"/>
            </w:tcBorders>
            <w:vAlign w:val="bottom"/>
          </w:tcPr>
          <w:p>
            <w:pPr>
              <w:jc w:val="center"/>
              <w:rPr>
                <w:sz w:val="20"/>
              </w:rPr>
            </w:pPr>
          </w:p>
        </w:tc>
        <w:tc>
          <w:tcPr>
            <w:tcW w:w="2410" w:type="dxa"/>
            <w:tcBorders>
              <w:top w:val="nil"/>
              <w:left w:val="nil"/>
              <w:bottom w:val="nil"/>
              <w:right w:val="nil"/>
            </w:tcBorders>
            <w:vAlign w:val="center"/>
          </w:tcPr>
          <w:p>
            <w:pPr>
              <w:widowControl/>
              <w:jc w:val="right"/>
              <w:rPr>
                <w:kern w:val="0"/>
                <w:sz w:val="20"/>
              </w:rPr>
            </w:pPr>
            <w:r>
              <w:rPr>
                <w:kern w:val="0"/>
                <w:sz w:val="20"/>
              </w:rPr>
              <w:t>-</w:t>
            </w:r>
          </w:p>
        </w:tc>
        <w:tc>
          <w:tcPr>
            <w:tcW w:w="2268" w:type="dxa"/>
            <w:tcBorders>
              <w:top w:val="nil"/>
              <w:left w:val="nil"/>
              <w:bottom w:val="nil"/>
              <w:right w:val="nil"/>
            </w:tcBorders>
            <w:vAlign w:val="center"/>
          </w:tcPr>
          <w:p>
            <w:pPr>
              <w:widowControl/>
              <w:jc w:val="right"/>
              <w:rPr>
                <w:kern w:val="0"/>
                <w:sz w:val="20"/>
              </w:rPr>
            </w:pPr>
            <w:r>
              <w:rPr>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0" w:hRule="atLeast"/>
        </w:trPr>
        <w:tc>
          <w:tcPr>
            <w:tcW w:w="2835" w:type="dxa"/>
            <w:tcBorders>
              <w:top w:val="nil"/>
              <w:left w:val="nil"/>
              <w:bottom w:val="nil"/>
              <w:right w:val="nil"/>
            </w:tcBorders>
            <w:vAlign w:val="center"/>
          </w:tcPr>
          <w:p>
            <w:pPr>
              <w:rPr>
                <w:sz w:val="20"/>
              </w:rPr>
            </w:pPr>
            <w:r>
              <w:rPr>
                <w:rFonts w:hint="eastAsia"/>
                <w:sz w:val="20"/>
              </w:rPr>
              <w:t>遞延收益</w:t>
            </w:r>
          </w:p>
        </w:tc>
        <w:tc>
          <w:tcPr>
            <w:tcW w:w="567" w:type="dxa"/>
            <w:tcBorders>
              <w:top w:val="nil"/>
              <w:left w:val="nil"/>
              <w:bottom w:val="nil"/>
              <w:right w:val="nil"/>
            </w:tcBorders>
            <w:vAlign w:val="bottom"/>
          </w:tcPr>
          <w:p>
            <w:pPr>
              <w:jc w:val="center"/>
              <w:rPr>
                <w:sz w:val="20"/>
              </w:rPr>
            </w:pPr>
          </w:p>
        </w:tc>
        <w:tc>
          <w:tcPr>
            <w:tcW w:w="2410" w:type="dxa"/>
            <w:tcBorders>
              <w:top w:val="nil"/>
              <w:left w:val="nil"/>
              <w:bottom w:val="nil"/>
              <w:right w:val="nil"/>
            </w:tcBorders>
            <w:vAlign w:val="center"/>
          </w:tcPr>
          <w:p>
            <w:pPr>
              <w:widowControl/>
              <w:jc w:val="right"/>
              <w:rPr>
                <w:kern w:val="0"/>
                <w:sz w:val="20"/>
              </w:rPr>
            </w:pPr>
            <w:r>
              <w:rPr>
                <w:kern w:val="0"/>
                <w:sz w:val="20"/>
              </w:rPr>
              <w:t xml:space="preserve">131,701,917.02 </w:t>
            </w:r>
          </w:p>
        </w:tc>
        <w:tc>
          <w:tcPr>
            <w:tcW w:w="2268" w:type="dxa"/>
            <w:tcBorders>
              <w:top w:val="nil"/>
              <w:left w:val="nil"/>
              <w:bottom w:val="nil"/>
              <w:right w:val="nil"/>
            </w:tcBorders>
            <w:vAlign w:val="center"/>
          </w:tcPr>
          <w:p>
            <w:pPr>
              <w:widowControl/>
              <w:jc w:val="right"/>
              <w:rPr>
                <w:kern w:val="0"/>
                <w:sz w:val="20"/>
              </w:rPr>
            </w:pPr>
            <w:r>
              <w:rPr>
                <w:kern w:val="0"/>
                <w:sz w:val="20"/>
              </w:rPr>
              <w:t>118,317,680.77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0" w:hRule="atLeast"/>
        </w:trPr>
        <w:tc>
          <w:tcPr>
            <w:tcW w:w="2835" w:type="dxa"/>
            <w:tcBorders>
              <w:top w:val="nil"/>
              <w:left w:val="nil"/>
              <w:bottom w:val="nil"/>
              <w:right w:val="nil"/>
            </w:tcBorders>
            <w:vAlign w:val="center"/>
          </w:tcPr>
          <w:p>
            <w:pPr>
              <w:rPr>
                <w:sz w:val="20"/>
              </w:rPr>
            </w:pPr>
            <w:r>
              <w:rPr>
                <w:rFonts w:hint="eastAsia"/>
                <w:sz w:val="20"/>
              </w:rPr>
              <w:t>遞延所得稅負債</w:t>
            </w:r>
          </w:p>
        </w:tc>
        <w:tc>
          <w:tcPr>
            <w:tcW w:w="567" w:type="dxa"/>
            <w:tcBorders>
              <w:top w:val="nil"/>
              <w:left w:val="nil"/>
              <w:bottom w:val="nil"/>
              <w:right w:val="nil"/>
            </w:tcBorders>
            <w:vAlign w:val="bottom"/>
          </w:tcPr>
          <w:p>
            <w:pPr>
              <w:jc w:val="center"/>
              <w:rPr>
                <w:b/>
                <w:sz w:val="20"/>
              </w:rPr>
            </w:pPr>
          </w:p>
        </w:tc>
        <w:tc>
          <w:tcPr>
            <w:tcW w:w="2410" w:type="dxa"/>
            <w:tcBorders>
              <w:top w:val="nil"/>
              <w:left w:val="nil"/>
              <w:bottom w:val="nil"/>
              <w:right w:val="nil"/>
            </w:tcBorders>
            <w:vAlign w:val="center"/>
          </w:tcPr>
          <w:p>
            <w:pPr>
              <w:widowControl/>
              <w:jc w:val="right"/>
              <w:rPr>
                <w:kern w:val="0"/>
                <w:sz w:val="20"/>
              </w:rPr>
            </w:pPr>
            <w:r>
              <w:rPr>
                <w:kern w:val="0"/>
                <w:sz w:val="20"/>
              </w:rPr>
              <w:t xml:space="preserve">17,089,244.98 </w:t>
            </w:r>
          </w:p>
        </w:tc>
        <w:tc>
          <w:tcPr>
            <w:tcW w:w="2268" w:type="dxa"/>
            <w:tcBorders>
              <w:top w:val="nil"/>
              <w:left w:val="nil"/>
              <w:bottom w:val="nil"/>
              <w:right w:val="nil"/>
            </w:tcBorders>
            <w:vAlign w:val="center"/>
          </w:tcPr>
          <w:p>
            <w:pPr>
              <w:widowControl/>
              <w:jc w:val="right"/>
              <w:rPr>
                <w:kern w:val="0"/>
                <w:sz w:val="20"/>
              </w:rPr>
            </w:pPr>
            <w:r>
              <w:rPr>
                <w:kern w:val="0"/>
                <w:sz w:val="20"/>
              </w:rPr>
              <w:t>1,194,228.88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0" w:hRule="atLeast"/>
        </w:trPr>
        <w:tc>
          <w:tcPr>
            <w:tcW w:w="2835" w:type="dxa"/>
            <w:tcBorders>
              <w:top w:val="nil"/>
              <w:left w:val="nil"/>
              <w:bottom w:val="nil"/>
              <w:right w:val="nil"/>
            </w:tcBorders>
            <w:vAlign w:val="center"/>
          </w:tcPr>
          <w:p>
            <w:pPr>
              <w:rPr>
                <w:sz w:val="20"/>
              </w:rPr>
            </w:pPr>
            <w:r>
              <w:rPr>
                <w:rFonts w:hint="eastAsia"/>
                <w:sz w:val="20"/>
              </w:rPr>
              <w:t>其他非流動負債</w:t>
            </w:r>
          </w:p>
        </w:tc>
        <w:tc>
          <w:tcPr>
            <w:tcW w:w="567" w:type="dxa"/>
            <w:tcBorders>
              <w:top w:val="nil"/>
              <w:left w:val="nil"/>
              <w:bottom w:val="nil"/>
              <w:right w:val="nil"/>
            </w:tcBorders>
            <w:vAlign w:val="bottom"/>
          </w:tcPr>
          <w:p>
            <w:pPr>
              <w:jc w:val="center"/>
              <w:rPr>
                <w:b/>
                <w:sz w:val="20"/>
              </w:rPr>
            </w:pPr>
          </w:p>
        </w:tc>
        <w:tc>
          <w:tcPr>
            <w:tcW w:w="2410" w:type="dxa"/>
            <w:tcBorders>
              <w:top w:val="nil"/>
              <w:left w:val="nil"/>
              <w:bottom w:val="nil"/>
              <w:right w:val="nil"/>
            </w:tcBorders>
            <w:vAlign w:val="center"/>
          </w:tcPr>
          <w:p>
            <w:pPr>
              <w:widowControl/>
              <w:jc w:val="right"/>
              <w:rPr>
                <w:kern w:val="0"/>
                <w:sz w:val="20"/>
              </w:rPr>
            </w:pPr>
            <w:r>
              <w:rPr>
                <w:kern w:val="0"/>
                <w:sz w:val="20"/>
              </w:rPr>
              <w:t xml:space="preserve">3,561,500.00 </w:t>
            </w:r>
          </w:p>
        </w:tc>
        <w:tc>
          <w:tcPr>
            <w:tcW w:w="2268" w:type="dxa"/>
            <w:tcBorders>
              <w:top w:val="nil"/>
              <w:left w:val="nil"/>
              <w:bottom w:val="nil"/>
              <w:right w:val="nil"/>
            </w:tcBorders>
            <w:vAlign w:val="center"/>
          </w:tcPr>
          <w:p>
            <w:pPr>
              <w:widowControl/>
              <w:jc w:val="right"/>
              <w:rPr>
                <w:kern w:val="0"/>
                <w:sz w:val="20"/>
              </w:rPr>
            </w:pPr>
            <w:r>
              <w:rPr>
                <w:kern w:val="0"/>
                <w:sz w:val="20"/>
              </w:rPr>
              <w:t>3,561,500.00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0" w:hRule="atLeast"/>
        </w:trPr>
        <w:tc>
          <w:tcPr>
            <w:tcW w:w="2835" w:type="dxa"/>
            <w:tcBorders>
              <w:top w:val="nil"/>
              <w:left w:val="nil"/>
              <w:bottom w:val="nil"/>
              <w:right w:val="nil"/>
            </w:tcBorders>
            <w:vAlign w:val="center"/>
          </w:tcPr>
          <w:p>
            <w:pPr>
              <w:jc w:val="center"/>
              <w:rPr>
                <w:b/>
                <w:sz w:val="20"/>
              </w:rPr>
            </w:pPr>
            <w:r>
              <w:rPr>
                <w:rFonts w:hint="eastAsia"/>
                <w:b/>
                <w:sz w:val="20"/>
              </w:rPr>
              <w:t>非流動負債合計</w:t>
            </w:r>
          </w:p>
        </w:tc>
        <w:tc>
          <w:tcPr>
            <w:tcW w:w="567" w:type="dxa"/>
            <w:tcBorders>
              <w:top w:val="nil"/>
              <w:left w:val="nil"/>
              <w:bottom w:val="nil"/>
              <w:right w:val="nil"/>
            </w:tcBorders>
            <w:vAlign w:val="bottom"/>
          </w:tcPr>
          <w:p>
            <w:pPr>
              <w:jc w:val="center"/>
              <w:rPr>
                <w:sz w:val="20"/>
              </w:rPr>
            </w:pPr>
          </w:p>
        </w:tc>
        <w:tc>
          <w:tcPr>
            <w:tcW w:w="2410" w:type="dxa"/>
            <w:tcBorders>
              <w:top w:val="nil"/>
              <w:left w:val="nil"/>
              <w:bottom w:val="nil"/>
              <w:right w:val="nil"/>
            </w:tcBorders>
            <w:vAlign w:val="center"/>
          </w:tcPr>
          <w:p>
            <w:pPr>
              <w:widowControl/>
              <w:jc w:val="right"/>
              <w:rPr>
                <w:b/>
                <w:kern w:val="0"/>
                <w:sz w:val="20"/>
              </w:rPr>
            </w:pPr>
            <w:r>
              <w:rPr>
                <w:b/>
                <w:kern w:val="0"/>
                <w:sz w:val="20"/>
              </w:rPr>
              <w:t xml:space="preserve">1,203,354,383.66 </w:t>
            </w:r>
          </w:p>
        </w:tc>
        <w:tc>
          <w:tcPr>
            <w:tcW w:w="2268" w:type="dxa"/>
            <w:tcBorders>
              <w:top w:val="nil"/>
              <w:left w:val="nil"/>
              <w:bottom w:val="nil"/>
              <w:right w:val="nil"/>
            </w:tcBorders>
            <w:vAlign w:val="center"/>
          </w:tcPr>
          <w:p>
            <w:pPr>
              <w:widowControl/>
              <w:jc w:val="right"/>
              <w:rPr>
                <w:b/>
                <w:kern w:val="0"/>
                <w:sz w:val="20"/>
              </w:rPr>
            </w:pPr>
            <w:r>
              <w:rPr>
                <w:b/>
                <w:kern w:val="0"/>
                <w:sz w:val="20"/>
              </w:rPr>
              <w:t>372,971,901.98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0" w:hRule="atLeast"/>
        </w:trPr>
        <w:tc>
          <w:tcPr>
            <w:tcW w:w="2835" w:type="dxa"/>
            <w:tcBorders>
              <w:top w:val="nil"/>
              <w:left w:val="nil"/>
              <w:bottom w:val="nil"/>
              <w:right w:val="nil"/>
            </w:tcBorders>
            <w:vAlign w:val="center"/>
          </w:tcPr>
          <w:p>
            <w:pPr>
              <w:jc w:val="center"/>
              <w:rPr>
                <w:b/>
                <w:sz w:val="20"/>
              </w:rPr>
            </w:pPr>
            <w:r>
              <w:rPr>
                <w:rFonts w:hint="eastAsia"/>
                <w:b/>
                <w:sz w:val="20"/>
              </w:rPr>
              <w:t>負債合計</w:t>
            </w:r>
          </w:p>
        </w:tc>
        <w:tc>
          <w:tcPr>
            <w:tcW w:w="567" w:type="dxa"/>
            <w:tcBorders>
              <w:top w:val="nil"/>
              <w:left w:val="nil"/>
              <w:bottom w:val="nil"/>
              <w:right w:val="nil"/>
            </w:tcBorders>
            <w:vAlign w:val="bottom"/>
          </w:tcPr>
          <w:p>
            <w:pPr>
              <w:jc w:val="center"/>
              <w:rPr>
                <w:sz w:val="20"/>
              </w:rPr>
            </w:pPr>
          </w:p>
        </w:tc>
        <w:tc>
          <w:tcPr>
            <w:tcW w:w="2410" w:type="dxa"/>
            <w:tcBorders>
              <w:top w:val="nil"/>
              <w:left w:val="nil"/>
              <w:bottom w:val="nil"/>
              <w:right w:val="nil"/>
            </w:tcBorders>
            <w:vAlign w:val="center"/>
          </w:tcPr>
          <w:p>
            <w:pPr>
              <w:widowControl/>
              <w:jc w:val="right"/>
              <w:rPr>
                <w:b/>
                <w:kern w:val="0"/>
                <w:sz w:val="20"/>
              </w:rPr>
            </w:pPr>
            <w:r>
              <w:rPr>
                <w:b/>
                <w:kern w:val="0"/>
                <w:sz w:val="20"/>
              </w:rPr>
              <w:t xml:space="preserve">2,694,193,743.82 </w:t>
            </w:r>
          </w:p>
        </w:tc>
        <w:tc>
          <w:tcPr>
            <w:tcW w:w="2268" w:type="dxa"/>
            <w:tcBorders>
              <w:top w:val="nil"/>
              <w:left w:val="nil"/>
              <w:bottom w:val="nil"/>
              <w:right w:val="nil"/>
            </w:tcBorders>
            <w:vAlign w:val="center"/>
          </w:tcPr>
          <w:p>
            <w:pPr>
              <w:widowControl/>
              <w:jc w:val="right"/>
              <w:rPr>
                <w:b/>
                <w:kern w:val="0"/>
                <w:sz w:val="20"/>
              </w:rPr>
            </w:pPr>
            <w:r>
              <w:rPr>
                <w:b/>
                <w:kern w:val="0"/>
                <w:sz w:val="20"/>
              </w:rPr>
              <w:t>2,643,478,538.19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0" w:hRule="atLeast"/>
        </w:trPr>
        <w:tc>
          <w:tcPr>
            <w:tcW w:w="2835" w:type="dxa"/>
            <w:tcBorders>
              <w:top w:val="nil"/>
              <w:left w:val="nil"/>
              <w:bottom w:val="nil"/>
              <w:right w:val="nil"/>
            </w:tcBorders>
            <w:vAlign w:val="center"/>
          </w:tcPr>
          <w:p>
            <w:pPr>
              <w:rPr>
                <w:rFonts w:cs="宋体"/>
                <w:sz w:val="20"/>
                <w:lang w:eastAsia="zh-TW"/>
              </w:rPr>
            </w:pPr>
          </w:p>
          <w:p>
            <w:pPr>
              <w:rPr>
                <w:sz w:val="20"/>
                <w:lang w:eastAsia="zh-TW"/>
              </w:rPr>
            </w:pPr>
            <w:r>
              <w:rPr>
                <w:rFonts w:hint="eastAsia"/>
                <w:sz w:val="20"/>
                <w:lang w:eastAsia="zh-TW"/>
              </w:rPr>
              <w:t>所有者權益（或股東權益）：</w:t>
            </w:r>
          </w:p>
        </w:tc>
        <w:tc>
          <w:tcPr>
            <w:tcW w:w="567" w:type="dxa"/>
            <w:tcBorders>
              <w:top w:val="nil"/>
              <w:left w:val="nil"/>
              <w:bottom w:val="nil"/>
              <w:right w:val="nil"/>
            </w:tcBorders>
            <w:vAlign w:val="bottom"/>
          </w:tcPr>
          <w:p>
            <w:pPr>
              <w:jc w:val="center"/>
              <w:rPr>
                <w:sz w:val="20"/>
                <w:lang w:eastAsia="zh-TW"/>
              </w:rPr>
            </w:pPr>
          </w:p>
        </w:tc>
        <w:tc>
          <w:tcPr>
            <w:tcW w:w="2410" w:type="dxa"/>
            <w:tcBorders>
              <w:top w:val="nil"/>
              <w:left w:val="nil"/>
              <w:bottom w:val="nil"/>
              <w:right w:val="nil"/>
            </w:tcBorders>
            <w:vAlign w:val="center"/>
          </w:tcPr>
          <w:p>
            <w:pPr>
              <w:jc w:val="right"/>
              <w:rPr>
                <w:sz w:val="20"/>
                <w:lang w:eastAsia="zh-TW"/>
              </w:rPr>
            </w:pPr>
          </w:p>
        </w:tc>
        <w:tc>
          <w:tcPr>
            <w:tcW w:w="2268" w:type="dxa"/>
            <w:tcBorders>
              <w:top w:val="nil"/>
              <w:left w:val="nil"/>
              <w:bottom w:val="nil"/>
              <w:right w:val="nil"/>
            </w:tcBorders>
            <w:vAlign w:val="center"/>
          </w:tcPr>
          <w:p>
            <w:pPr>
              <w:jc w:val="right"/>
              <w:rPr>
                <w:sz w:val="2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0" w:hRule="atLeast"/>
        </w:trPr>
        <w:tc>
          <w:tcPr>
            <w:tcW w:w="2835" w:type="dxa"/>
            <w:tcBorders>
              <w:top w:val="nil"/>
              <w:left w:val="nil"/>
              <w:bottom w:val="nil"/>
              <w:right w:val="nil"/>
            </w:tcBorders>
            <w:vAlign w:val="center"/>
          </w:tcPr>
          <w:p>
            <w:pPr>
              <w:rPr>
                <w:sz w:val="20"/>
              </w:rPr>
            </w:pPr>
            <w:r>
              <w:rPr>
                <w:rFonts w:hint="eastAsia"/>
                <w:sz w:val="20"/>
              </w:rPr>
              <w:t>股本</w:t>
            </w:r>
          </w:p>
        </w:tc>
        <w:tc>
          <w:tcPr>
            <w:tcW w:w="567" w:type="dxa"/>
            <w:tcBorders>
              <w:top w:val="nil"/>
              <w:left w:val="nil"/>
              <w:bottom w:val="nil"/>
              <w:right w:val="nil"/>
            </w:tcBorders>
            <w:vAlign w:val="bottom"/>
          </w:tcPr>
          <w:p>
            <w:pPr>
              <w:jc w:val="center"/>
              <w:rPr>
                <w:sz w:val="20"/>
              </w:rPr>
            </w:pPr>
          </w:p>
        </w:tc>
        <w:tc>
          <w:tcPr>
            <w:tcW w:w="2410" w:type="dxa"/>
            <w:tcBorders>
              <w:top w:val="nil"/>
              <w:left w:val="nil"/>
              <w:bottom w:val="nil"/>
              <w:right w:val="nil"/>
            </w:tcBorders>
            <w:vAlign w:val="center"/>
          </w:tcPr>
          <w:p>
            <w:pPr>
              <w:jc w:val="right"/>
              <w:rPr>
                <w:sz w:val="20"/>
              </w:rPr>
            </w:pPr>
            <w:r>
              <w:rPr>
                <w:sz w:val="20"/>
              </w:rPr>
              <w:t xml:space="preserve">478,353,421.00 </w:t>
            </w:r>
          </w:p>
        </w:tc>
        <w:tc>
          <w:tcPr>
            <w:tcW w:w="2268" w:type="dxa"/>
            <w:tcBorders>
              <w:top w:val="nil"/>
              <w:left w:val="nil"/>
              <w:bottom w:val="nil"/>
              <w:right w:val="nil"/>
            </w:tcBorders>
            <w:vAlign w:val="center"/>
          </w:tcPr>
          <w:p>
            <w:pPr>
              <w:jc w:val="right"/>
              <w:rPr>
                <w:sz w:val="20"/>
              </w:rPr>
            </w:pPr>
            <w:r>
              <w:rPr>
                <w:sz w:val="20"/>
              </w:rPr>
              <w:t>457,312,830.00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0" w:hRule="atLeast"/>
        </w:trPr>
        <w:tc>
          <w:tcPr>
            <w:tcW w:w="2835" w:type="dxa"/>
            <w:tcBorders>
              <w:top w:val="nil"/>
              <w:left w:val="nil"/>
              <w:bottom w:val="nil"/>
              <w:right w:val="nil"/>
            </w:tcBorders>
            <w:vAlign w:val="center"/>
          </w:tcPr>
          <w:p>
            <w:pPr>
              <w:rPr>
                <w:sz w:val="20"/>
              </w:rPr>
            </w:pPr>
            <w:r>
              <w:rPr>
                <w:rFonts w:hint="eastAsia"/>
                <w:sz w:val="20"/>
              </w:rPr>
              <w:t>資本公積</w:t>
            </w:r>
          </w:p>
        </w:tc>
        <w:tc>
          <w:tcPr>
            <w:tcW w:w="567" w:type="dxa"/>
            <w:tcBorders>
              <w:top w:val="nil"/>
              <w:left w:val="nil"/>
              <w:bottom w:val="nil"/>
              <w:right w:val="nil"/>
            </w:tcBorders>
            <w:vAlign w:val="bottom"/>
          </w:tcPr>
          <w:p>
            <w:pPr>
              <w:jc w:val="center"/>
              <w:rPr>
                <w:sz w:val="20"/>
              </w:rPr>
            </w:pPr>
            <w:r>
              <w:rPr>
                <w:sz w:val="20"/>
              </w:rPr>
              <w:t>7</w:t>
            </w:r>
          </w:p>
        </w:tc>
        <w:tc>
          <w:tcPr>
            <w:tcW w:w="2410" w:type="dxa"/>
            <w:tcBorders>
              <w:top w:val="nil"/>
              <w:left w:val="nil"/>
              <w:bottom w:val="nil"/>
              <w:right w:val="nil"/>
            </w:tcBorders>
            <w:vAlign w:val="center"/>
          </w:tcPr>
          <w:p>
            <w:pPr>
              <w:widowControl/>
              <w:jc w:val="right"/>
              <w:rPr>
                <w:kern w:val="0"/>
                <w:sz w:val="20"/>
              </w:rPr>
            </w:pPr>
            <w:r>
              <w:rPr>
                <w:kern w:val="0"/>
                <w:sz w:val="20"/>
              </w:rPr>
              <w:t xml:space="preserve">728,450,324.94 </w:t>
            </w:r>
          </w:p>
        </w:tc>
        <w:tc>
          <w:tcPr>
            <w:tcW w:w="2268" w:type="dxa"/>
            <w:tcBorders>
              <w:top w:val="nil"/>
              <w:left w:val="nil"/>
              <w:bottom w:val="nil"/>
              <w:right w:val="nil"/>
            </w:tcBorders>
            <w:vAlign w:val="center"/>
          </w:tcPr>
          <w:p>
            <w:pPr>
              <w:widowControl/>
              <w:jc w:val="right"/>
              <w:rPr>
                <w:kern w:val="0"/>
                <w:sz w:val="20"/>
              </w:rPr>
            </w:pPr>
            <w:r>
              <w:rPr>
                <w:kern w:val="0"/>
                <w:sz w:val="20"/>
              </w:rPr>
              <w:t>513,092,452.66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0" w:hRule="atLeast"/>
        </w:trPr>
        <w:tc>
          <w:tcPr>
            <w:tcW w:w="2835" w:type="dxa"/>
            <w:tcBorders>
              <w:top w:val="nil"/>
              <w:left w:val="nil"/>
              <w:bottom w:val="nil"/>
              <w:right w:val="nil"/>
            </w:tcBorders>
            <w:vAlign w:val="center"/>
          </w:tcPr>
          <w:p>
            <w:pPr>
              <w:rPr>
                <w:sz w:val="20"/>
              </w:rPr>
            </w:pPr>
            <w:r>
              <w:rPr>
                <w:rFonts w:hint="eastAsia"/>
                <w:sz w:val="20"/>
              </w:rPr>
              <w:t>減：庫存股</w:t>
            </w:r>
          </w:p>
        </w:tc>
        <w:tc>
          <w:tcPr>
            <w:tcW w:w="567" w:type="dxa"/>
            <w:tcBorders>
              <w:top w:val="nil"/>
              <w:left w:val="nil"/>
              <w:bottom w:val="nil"/>
              <w:right w:val="nil"/>
            </w:tcBorders>
            <w:vAlign w:val="bottom"/>
          </w:tcPr>
          <w:p>
            <w:pPr>
              <w:jc w:val="center"/>
              <w:rPr>
                <w:sz w:val="20"/>
              </w:rPr>
            </w:pPr>
          </w:p>
        </w:tc>
        <w:tc>
          <w:tcPr>
            <w:tcW w:w="2410" w:type="dxa"/>
            <w:tcBorders>
              <w:top w:val="nil"/>
              <w:left w:val="nil"/>
              <w:bottom w:val="nil"/>
              <w:right w:val="nil"/>
            </w:tcBorders>
            <w:vAlign w:val="center"/>
          </w:tcPr>
          <w:p>
            <w:pPr>
              <w:widowControl/>
              <w:jc w:val="right"/>
              <w:rPr>
                <w:kern w:val="0"/>
                <w:sz w:val="20"/>
              </w:rPr>
            </w:pPr>
            <w:r>
              <w:rPr>
                <w:kern w:val="0"/>
                <w:sz w:val="20"/>
              </w:rPr>
              <w:t>-</w:t>
            </w:r>
          </w:p>
        </w:tc>
        <w:tc>
          <w:tcPr>
            <w:tcW w:w="2268" w:type="dxa"/>
            <w:tcBorders>
              <w:top w:val="nil"/>
              <w:left w:val="nil"/>
              <w:bottom w:val="nil"/>
              <w:right w:val="nil"/>
            </w:tcBorders>
            <w:vAlign w:val="center"/>
          </w:tcPr>
          <w:p>
            <w:pPr>
              <w:widowControl/>
              <w:jc w:val="right"/>
              <w:rPr>
                <w:kern w:val="0"/>
                <w:sz w:val="20"/>
              </w:rPr>
            </w:pPr>
            <w:r>
              <w:rPr>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0" w:hRule="atLeast"/>
        </w:trPr>
        <w:tc>
          <w:tcPr>
            <w:tcW w:w="2835" w:type="dxa"/>
            <w:tcBorders>
              <w:top w:val="nil"/>
              <w:left w:val="nil"/>
              <w:bottom w:val="nil"/>
              <w:right w:val="nil"/>
            </w:tcBorders>
            <w:vAlign w:val="center"/>
          </w:tcPr>
          <w:p>
            <w:pPr>
              <w:rPr>
                <w:sz w:val="20"/>
              </w:rPr>
            </w:pPr>
            <w:r>
              <w:rPr>
                <w:rFonts w:hint="eastAsia"/>
                <w:sz w:val="20"/>
              </w:rPr>
              <w:t>其他綜合收益</w:t>
            </w:r>
          </w:p>
        </w:tc>
        <w:tc>
          <w:tcPr>
            <w:tcW w:w="567" w:type="dxa"/>
            <w:tcBorders>
              <w:top w:val="nil"/>
              <w:left w:val="nil"/>
              <w:bottom w:val="nil"/>
              <w:right w:val="nil"/>
            </w:tcBorders>
            <w:vAlign w:val="bottom"/>
          </w:tcPr>
          <w:p>
            <w:pPr>
              <w:jc w:val="center"/>
              <w:rPr>
                <w:sz w:val="20"/>
              </w:rPr>
            </w:pPr>
            <w:r>
              <w:rPr>
                <w:sz w:val="20"/>
              </w:rPr>
              <w:t>8</w:t>
            </w:r>
          </w:p>
        </w:tc>
        <w:tc>
          <w:tcPr>
            <w:tcW w:w="2410" w:type="dxa"/>
            <w:tcBorders>
              <w:top w:val="nil"/>
              <w:left w:val="nil"/>
              <w:bottom w:val="nil"/>
              <w:right w:val="nil"/>
            </w:tcBorders>
            <w:vAlign w:val="center"/>
          </w:tcPr>
          <w:p>
            <w:pPr>
              <w:widowControl/>
              <w:jc w:val="right"/>
              <w:rPr>
                <w:kern w:val="0"/>
                <w:sz w:val="20"/>
              </w:rPr>
            </w:pPr>
            <w:r>
              <w:rPr>
                <w:kern w:val="0"/>
                <w:sz w:val="20"/>
              </w:rPr>
              <w:t xml:space="preserve">199,385,406.07 </w:t>
            </w:r>
          </w:p>
        </w:tc>
        <w:tc>
          <w:tcPr>
            <w:tcW w:w="2268" w:type="dxa"/>
            <w:tcBorders>
              <w:top w:val="nil"/>
              <w:left w:val="nil"/>
              <w:bottom w:val="nil"/>
              <w:right w:val="nil"/>
            </w:tcBorders>
            <w:vAlign w:val="center"/>
          </w:tcPr>
          <w:p>
            <w:pPr>
              <w:widowControl/>
              <w:jc w:val="right"/>
              <w:rPr>
                <w:kern w:val="0"/>
                <w:sz w:val="20"/>
              </w:rPr>
            </w:pPr>
            <w:r>
              <w:rPr>
                <w:kern w:val="0"/>
                <w:sz w:val="20"/>
              </w:rPr>
              <w:t>139,421,221.69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0" w:hRule="atLeast"/>
        </w:trPr>
        <w:tc>
          <w:tcPr>
            <w:tcW w:w="2835" w:type="dxa"/>
            <w:tcBorders>
              <w:top w:val="nil"/>
              <w:left w:val="nil"/>
              <w:bottom w:val="nil"/>
              <w:right w:val="nil"/>
            </w:tcBorders>
            <w:vAlign w:val="center"/>
          </w:tcPr>
          <w:p>
            <w:pPr>
              <w:rPr>
                <w:sz w:val="20"/>
              </w:rPr>
            </w:pPr>
            <w:r>
              <w:rPr>
                <w:rFonts w:hint="eastAsia"/>
                <w:sz w:val="20"/>
              </w:rPr>
              <w:t>盈餘公積</w:t>
            </w:r>
          </w:p>
        </w:tc>
        <w:tc>
          <w:tcPr>
            <w:tcW w:w="567" w:type="dxa"/>
            <w:tcBorders>
              <w:top w:val="nil"/>
              <w:left w:val="nil"/>
              <w:bottom w:val="nil"/>
              <w:right w:val="nil"/>
            </w:tcBorders>
            <w:vAlign w:val="bottom"/>
          </w:tcPr>
          <w:p>
            <w:pPr>
              <w:jc w:val="center"/>
              <w:rPr>
                <w:sz w:val="20"/>
              </w:rPr>
            </w:pPr>
          </w:p>
        </w:tc>
        <w:tc>
          <w:tcPr>
            <w:tcW w:w="2410" w:type="dxa"/>
            <w:tcBorders>
              <w:top w:val="nil"/>
              <w:left w:val="nil"/>
              <w:bottom w:val="nil"/>
              <w:right w:val="nil"/>
            </w:tcBorders>
            <w:vAlign w:val="center"/>
          </w:tcPr>
          <w:p>
            <w:pPr>
              <w:widowControl/>
              <w:jc w:val="right"/>
              <w:rPr>
                <w:kern w:val="0"/>
                <w:sz w:val="20"/>
              </w:rPr>
            </w:pPr>
            <w:r>
              <w:rPr>
                <w:kern w:val="0"/>
                <w:sz w:val="20"/>
              </w:rPr>
              <w:t xml:space="preserve">235,509,229.07 </w:t>
            </w:r>
          </w:p>
        </w:tc>
        <w:tc>
          <w:tcPr>
            <w:tcW w:w="2268" w:type="dxa"/>
            <w:tcBorders>
              <w:top w:val="nil"/>
              <w:left w:val="nil"/>
              <w:bottom w:val="nil"/>
              <w:right w:val="nil"/>
            </w:tcBorders>
            <w:vAlign w:val="center"/>
          </w:tcPr>
          <w:p>
            <w:pPr>
              <w:widowControl/>
              <w:jc w:val="right"/>
              <w:rPr>
                <w:kern w:val="0"/>
                <w:sz w:val="20"/>
              </w:rPr>
            </w:pPr>
            <w:r>
              <w:rPr>
                <w:kern w:val="0"/>
                <w:sz w:val="20"/>
              </w:rPr>
              <w:t>221,217,539.36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0" w:hRule="atLeast"/>
        </w:trPr>
        <w:tc>
          <w:tcPr>
            <w:tcW w:w="2835" w:type="dxa"/>
            <w:tcBorders>
              <w:top w:val="nil"/>
              <w:left w:val="nil"/>
              <w:bottom w:val="nil"/>
              <w:right w:val="nil"/>
            </w:tcBorders>
            <w:vAlign w:val="center"/>
          </w:tcPr>
          <w:p>
            <w:pPr>
              <w:rPr>
                <w:sz w:val="20"/>
              </w:rPr>
            </w:pPr>
            <w:r>
              <w:rPr>
                <w:rFonts w:hint="eastAsia"/>
                <w:sz w:val="20"/>
              </w:rPr>
              <w:t>未分配利潤</w:t>
            </w:r>
          </w:p>
        </w:tc>
        <w:tc>
          <w:tcPr>
            <w:tcW w:w="567" w:type="dxa"/>
            <w:tcBorders>
              <w:top w:val="nil"/>
              <w:left w:val="nil"/>
              <w:bottom w:val="nil"/>
              <w:right w:val="nil"/>
            </w:tcBorders>
            <w:vAlign w:val="bottom"/>
          </w:tcPr>
          <w:p>
            <w:pPr>
              <w:jc w:val="center"/>
              <w:rPr>
                <w:sz w:val="20"/>
              </w:rPr>
            </w:pPr>
            <w:r>
              <w:rPr>
                <w:sz w:val="20"/>
              </w:rPr>
              <w:t>9</w:t>
            </w:r>
          </w:p>
        </w:tc>
        <w:tc>
          <w:tcPr>
            <w:tcW w:w="2410" w:type="dxa"/>
            <w:tcBorders>
              <w:top w:val="nil"/>
              <w:left w:val="nil"/>
              <w:bottom w:val="nil"/>
              <w:right w:val="nil"/>
            </w:tcBorders>
            <w:vAlign w:val="center"/>
          </w:tcPr>
          <w:p>
            <w:pPr>
              <w:widowControl/>
              <w:jc w:val="right"/>
              <w:rPr>
                <w:kern w:val="0"/>
                <w:sz w:val="20"/>
              </w:rPr>
            </w:pPr>
            <w:r>
              <w:rPr>
                <w:kern w:val="0"/>
                <w:sz w:val="20"/>
              </w:rPr>
              <w:t xml:space="preserve">838,325,395.51 </w:t>
            </w:r>
          </w:p>
        </w:tc>
        <w:tc>
          <w:tcPr>
            <w:tcW w:w="2268" w:type="dxa"/>
            <w:tcBorders>
              <w:top w:val="nil"/>
              <w:left w:val="nil"/>
              <w:bottom w:val="nil"/>
              <w:right w:val="nil"/>
            </w:tcBorders>
            <w:vAlign w:val="center"/>
          </w:tcPr>
          <w:p>
            <w:pPr>
              <w:widowControl/>
              <w:jc w:val="right"/>
              <w:rPr>
                <w:kern w:val="0"/>
                <w:sz w:val="20"/>
              </w:rPr>
            </w:pPr>
            <w:r>
              <w:rPr>
                <w:kern w:val="0"/>
                <w:sz w:val="20"/>
              </w:rPr>
              <w:t>657,375,780.62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0" w:hRule="atLeast"/>
        </w:trPr>
        <w:tc>
          <w:tcPr>
            <w:tcW w:w="2835" w:type="dxa"/>
            <w:tcBorders>
              <w:top w:val="nil"/>
              <w:left w:val="nil"/>
              <w:bottom w:val="nil"/>
              <w:right w:val="nil"/>
            </w:tcBorders>
            <w:vAlign w:val="center"/>
          </w:tcPr>
          <w:p>
            <w:pPr>
              <w:jc w:val="center"/>
              <w:rPr>
                <w:b/>
                <w:sz w:val="20"/>
                <w:lang w:eastAsia="zh-TW"/>
              </w:rPr>
            </w:pPr>
            <w:r>
              <w:rPr>
                <w:rFonts w:hint="eastAsia"/>
                <w:b/>
                <w:sz w:val="20"/>
                <w:lang w:eastAsia="zh-TW"/>
              </w:rPr>
              <w:t>歸屬於</w:t>
            </w:r>
            <w:r>
              <w:rPr>
                <w:rFonts w:hint="eastAsia" w:cs="宋体"/>
                <w:b/>
                <w:bCs/>
                <w:sz w:val="20"/>
                <w:lang w:eastAsia="zh-TW"/>
              </w:rPr>
              <w:t>本公司</w:t>
            </w:r>
            <w:r>
              <w:rPr>
                <w:rFonts w:hint="eastAsia"/>
                <w:b/>
                <w:sz w:val="20"/>
                <w:lang w:eastAsia="zh-TW"/>
              </w:rPr>
              <w:t>所有者權益合計</w:t>
            </w:r>
          </w:p>
        </w:tc>
        <w:tc>
          <w:tcPr>
            <w:tcW w:w="567" w:type="dxa"/>
            <w:tcBorders>
              <w:top w:val="nil"/>
              <w:left w:val="nil"/>
              <w:bottom w:val="nil"/>
              <w:right w:val="nil"/>
            </w:tcBorders>
            <w:vAlign w:val="top"/>
          </w:tcPr>
          <w:p>
            <w:pPr>
              <w:jc w:val="right"/>
              <w:rPr>
                <w:b/>
                <w:sz w:val="20"/>
                <w:lang w:eastAsia="zh-TW"/>
              </w:rPr>
            </w:pPr>
          </w:p>
        </w:tc>
        <w:tc>
          <w:tcPr>
            <w:tcW w:w="2410" w:type="dxa"/>
            <w:tcBorders>
              <w:top w:val="nil"/>
              <w:left w:val="nil"/>
              <w:bottom w:val="nil"/>
              <w:right w:val="nil"/>
            </w:tcBorders>
            <w:vAlign w:val="center"/>
          </w:tcPr>
          <w:p>
            <w:pPr>
              <w:widowControl/>
              <w:jc w:val="right"/>
              <w:rPr>
                <w:b/>
                <w:kern w:val="0"/>
                <w:sz w:val="20"/>
              </w:rPr>
            </w:pPr>
            <w:r>
              <w:rPr>
                <w:b/>
                <w:kern w:val="0"/>
                <w:sz w:val="20"/>
              </w:rPr>
              <w:t xml:space="preserve">2,480,023,776.59 </w:t>
            </w:r>
          </w:p>
        </w:tc>
        <w:tc>
          <w:tcPr>
            <w:tcW w:w="2268" w:type="dxa"/>
            <w:tcBorders>
              <w:top w:val="nil"/>
              <w:left w:val="nil"/>
              <w:bottom w:val="nil"/>
              <w:right w:val="nil"/>
            </w:tcBorders>
            <w:vAlign w:val="center"/>
          </w:tcPr>
          <w:p>
            <w:pPr>
              <w:widowControl/>
              <w:jc w:val="right"/>
              <w:rPr>
                <w:b/>
                <w:kern w:val="0"/>
                <w:sz w:val="20"/>
              </w:rPr>
            </w:pPr>
            <w:r>
              <w:rPr>
                <w:b/>
                <w:kern w:val="0"/>
                <w:sz w:val="20"/>
              </w:rPr>
              <w:t>1,988,419,824.33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0" w:hRule="atLeast"/>
        </w:trPr>
        <w:tc>
          <w:tcPr>
            <w:tcW w:w="2835" w:type="dxa"/>
            <w:tcBorders>
              <w:top w:val="nil"/>
              <w:left w:val="nil"/>
              <w:bottom w:val="nil"/>
              <w:right w:val="nil"/>
            </w:tcBorders>
            <w:vAlign w:val="center"/>
          </w:tcPr>
          <w:p>
            <w:pPr>
              <w:rPr>
                <w:sz w:val="20"/>
              </w:rPr>
            </w:pPr>
            <w:r>
              <w:rPr>
                <w:rFonts w:hint="eastAsia"/>
                <w:sz w:val="20"/>
              </w:rPr>
              <w:t>少數股東權益</w:t>
            </w:r>
          </w:p>
        </w:tc>
        <w:tc>
          <w:tcPr>
            <w:tcW w:w="567" w:type="dxa"/>
            <w:tcBorders>
              <w:top w:val="nil"/>
              <w:left w:val="nil"/>
              <w:bottom w:val="nil"/>
              <w:right w:val="nil"/>
            </w:tcBorders>
            <w:vAlign w:val="top"/>
          </w:tcPr>
          <w:p>
            <w:pPr>
              <w:jc w:val="right"/>
              <w:rPr>
                <w:sz w:val="20"/>
              </w:rPr>
            </w:pPr>
          </w:p>
        </w:tc>
        <w:tc>
          <w:tcPr>
            <w:tcW w:w="2410" w:type="dxa"/>
            <w:tcBorders>
              <w:top w:val="nil"/>
              <w:left w:val="nil"/>
              <w:bottom w:val="nil"/>
              <w:right w:val="nil"/>
            </w:tcBorders>
            <w:vAlign w:val="center"/>
          </w:tcPr>
          <w:p>
            <w:pPr>
              <w:widowControl/>
              <w:jc w:val="right"/>
              <w:rPr>
                <w:kern w:val="0"/>
                <w:sz w:val="20"/>
              </w:rPr>
            </w:pPr>
            <w:r>
              <w:rPr>
                <w:kern w:val="0"/>
                <w:sz w:val="20"/>
              </w:rPr>
              <w:t xml:space="preserve">99,429,604.22 </w:t>
            </w:r>
          </w:p>
        </w:tc>
        <w:tc>
          <w:tcPr>
            <w:tcW w:w="2268" w:type="dxa"/>
            <w:tcBorders>
              <w:top w:val="nil"/>
              <w:left w:val="nil"/>
              <w:bottom w:val="nil"/>
              <w:right w:val="nil"/>
            </w:tcBorders>
            <w:vAlign w:val="center"/>
          </w:tcPr>
          <w:p>
            <w:pPr>
              <w:widowControl/>
              <w:jc w:val="right"/>
              <w:rPr>
                <w:kern w:val="0"/>
                <w:sz w:val="20"/>
              </w:rPr>
            </w:pPr>
            <w:r>
              <w:rPr>
                <w:kern w:val="0"/>
                <w:sz w:val="20"/>
              </w:rPr>
              <w:t>90,887,601.32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0" w:hRule="atLeast"/>
        </w:trPr>
        <w:tc>
          <w:tcPr>
            <w:tcW w:w="2835" w:type="dxa"/>
            <w:tcBorders>
              <w:top w:val="nil"/>
              <w:left w:val="nil"/>
              <w:bottom w:val="nil"/>
              <w:right w:val="nil"/>
            </w:tcBorders>
            <w:vAlign w:val="center"/>
          </w:tcPr>
          <w:p>
            <w:pPr>
              <w:jc w:val="center"/>
              <w:rPr>
                <w:b/>
                <w:sz w:val="20"/>
              </w:rPr>
            </w:pPr>
            <w:r>
              <w:rPr>
                <w:rFonts w:hint="eastAsia"/>
                <w:b/>
                <w:sz w:val="20"/>
              </w:rPr>
              <w:t>所有者權益合計</w:t>
            </w:r>
          </w:p>
        </w:tc>
        <w:tc>
          <w:tcPr>
            <w:tcW w:w="567" w:type="dxa"/>
            <w:tcBorders>
              <w:top w:val="nil"/>
              <w:left w:val="nil"/>
              <w:bottom w:val="nil"/>
              <w:right w:val="nil"/>
            </w:tcBorders>
            <w:vAlign w:val="top"/>
          </w:tcPr>
          <w:p>
            <w:pPr>
              <w:jc w:val="right"/>
              <w:rPr>
                <w:b/>
                <w:sz w:val="20"/>
              </w:rPr>
            </w:pPr>
          </w:p>
        </w:tc>
        <w:tc>
          <w:tcPr>
            <w:tcW w:w="2410" w:type="dxa"/>
            <w:tcBorders>
              <w:top w:val="nil"/>
              <w:left w:val="nil"/>
              <w:bottom w:val="nil"/>
              <w:right w:val="nil"/>
            </w:tcBorders>
            <w:vAlign w:val="center"/>
          </w:tcPr>
          <w:p>
            <w:pPr>
              <w:widowControl/>
              <w:jc w:val="right"/>
              <w:rPr>
                <w:b/>
                <w:kern w:val="0"/>
                <w:sz w:val="20"/>
              </w:rPr>
            </w:pPr>
            <w:r>
              <w:rPr>
                <w:b/>
                <w:kern w:val="0"/>
                <w:sz w:val="20"/>
              </w:rPr>
              <w:t xml:space="preserve">2,579,453,380.81 </w:t>
            </w:r>
          </w:p>
        </w:tc>
        <w:tc>
          <w:tcPr>
            <w:tcW w:w="2268" w:type="dxa"/>
            <w:tcBorders>
              <w:top w:val="nil"/>
              <w:left w:val="nil"/>
              <w:bottom w:val="nil"/>
              <w:right w:val="nil"/>
            </w:tcBorders>
            <w:vAlign w:val="center"/>
          </w:tcPr>
          <w:p>
            <w:pPr>
              <w:widowControl/>
              <w:jc w:val="right"/>
              <w:rPr>
                <w:b/>
                <w:kern w:val="0"/>
                <w:sz w:val="20"/>
              </w:rPr>
            </w:pPr>
            <w:r>
              <w:rPr>
                <w:b/>
                <w:kern w:val="0"/>
                <w:sz w:val="20"/>
              </w:rPr>
              <w:t>2,079,307,425.65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0" w:hRule="atLeast"/>
        </w:trPr>
        <w:tc>
          <w:tcPr>
            <w:tcW w:w="2835" w:type="dxa"/>
            <w:tcBorders>
              <w:top w:val="nil"/>
              <w:left w:val="nil"/>
              <w:bottom w:val="nil"/>
              <w:right w:val="nil"/>
            </w:tcBorders>
            <w:vAlign w:val="center"/>
          </w:tcPr>
          <w:p>
            <w:pPr>
              <w:jc w:val="center"/>
              <w:rPr>
                <w:b/>
                <w:sz w:val="20"/>
                <w:lang w:eastAsia="zh-TW"/>
              </w:rPr>
            </w:pPr>
            <w:r>
              <w:rPr>
                <w:rFonts w:hint="eastAsia"/>
                <w:b/>
                <w:sz w:val="20"/>
                <w:lang w:eastAsia="zh-TW"/>
              </w:rPr>
              <w:t>負債和所有者權益總計</w:t>
            </w:r>
          </w:p>
        </w:tc>
        <w:tc>
          <w:tcPr>
            <w:tcW w:w="567" w:type="dxa"/>
            <w:tcBorders>
              <w:top w:val="nil"/>
              <w:left w:val="nil"/>
              <w:bottom w:val="nil"/>
              <w:right w:val="nil"/>
            </w:tcBorders>
            <w:vAlign w:val="top"/>
          </w:tcPr>
          <w:p>
            <w:pPr>
              <w:jc w:val="right"/>
              <w:rPr>
                <w:b/>
                <w:sz w:val="20"/>
                <w:lang w:eastAsia="zh-TW"/>
              </w:rPr>
            </w:pPr>
          </w:p>
        </w:tc>
        <w:tc>
          <w:tcPr>
            <w:tcW w:w="2410" w:type="dxa"/>
            <w:tcBorders>
              <w:top w:val="nil"/>
              <w:left w:val="nil"/>
              <w:bottom w:val="nil"/>
              <w:right w:val="nil"/>
            </w:tcBorders>
            <w:vAlign w:val="center"/>
          </w:tcPr>
          <w:p>
            <w:pPr>
              <w:widowControl/>
              <w:jc w:val="right"/>
              <w:rPr>
                <w:b/>
                <w:kern w:val="0"/>
                <w:sz w:val="20"/>
              </w:rPr>
            </w:pPr>
            <w:r>
              <w:rPr>
                <w:b/>
                <w:kern w:val="0"/>
                <w:sz w:val="20"/>
              </w:rPr>
              <w:t xml:space="preserve">5,273,647,124.63 </w:t>
            </w:r>
          </w:p>
        </w:tc>
        <w:tc>
          <w:tcPr>
            <w:tcW w:w="2268" w:type="dxa"/>
            <w:tcBorders>
              <w:top w:val="nil"/>
              <w:left w:val="nil"/>
              <w:bottom w:val="nil"/>
              <w:right w:val="nil"/>
            </w:tcBorders>
            <w:vAlign w:val="center"/>
          </w:tcPr>
          <w:p>
            <w:pPr>
              <w:widowControl/>
              <w:jc w:val="right"/>
              <w:rPr>
                <w:b/>
                <w:kern w:val="0"/>
                <w:sz w:val="20"/>
              </w:rPr>
            </w:pPr>
            <w:r>
              <w:rPr>
                <w:b/>
                <w:kern w:val="0"/>
                <w:sz w:val="20"/>
              </w:rPr>
              <w:t>4,722,785,963.84</w:t>
            </w:r>
          </w:p>
        </w:tc>
      </w:tr>
    </w:tbl>
    <w:p>
      <w:pPr>
        <w:spacing w:line="360" w:lineRule="exact"/>
        <w:rPr>
          <w:b/>
          <w:spacing w:val="20"/>
          <w:sz w:val="24"/>
        </w:rPr>
      </w:pPr>
    </w:p>
    <w:p>
      <w:pPr>
        <w:spacing w:line="360" w:lineRule="exact"/>
        <w:rPr>
          <w:b/>
          <w:bCs/>
          <w:spacing w:val="20"/>
          <w:sz w:val="24"/>
          <w:lang w:eastAsia="zh-TW"/>
        </w:rPr>
      </w:pPr>
    </w:p>
    <w:p>
      <w:pPr>
        <w:spacing w:line="360" w:lineRule="exact"/>
        <w:jc w:val="center"/>
        <w:rPr>
          <w:b/>
          <w:sz w:val="22"/>
          <w:lang w:eastAsia="zh-TW"/>
        </w:rPr>
      </w:pPr>
      <w:r>
        <w:rPr>
          <w:rFonts w:hint="eastAsia"/>
          <w:b/>
          <w:spacing w:val="20"/>
          <w:sz w:val="24"/>
          <w:lang w:eastAsia="zh-TW"/>
        </w:rPr>
        <w:t>合併利潤表</w:t>
      </w:r>
      <w:r>
        <w:rPr>
          <w:rFonts w:hint="eastAsia"/>
          <w:b/>
          <w:sz w:val="22"/>
          <w:lang w:eastAsia="zh-TW"/>
        </w:rPr>
        <w:t>（經審計）</w:t>
      </w:r>
    </w:p>
    <w:p>
      <w:pPr>
        <w:spacing w:line="360" w:lineRule="exact"/>
        <w:ind w:right="120"/>
        <w:jc w:val="right"/>
        <w:rPr>
          <w:spacing w:val="20"/>
          <w:sz w:val="20"/>
          <w:lang w:eastAsia="zh-TW"/>
        </w:rPr>
      </w:pPr>
      <w:r>
        <w:rPr>
          <w:rFonts w:hint="eastAsia"/>
          <w:spacing w:val="20"/>
          <w:sz w:val="20"/>
          <w:lang w:eastAsia="zh-TW"/>
        </w:rPr>
        <w:t>單位：人民幣元</w:t>
      </w:r>
    </w:p>
    <w:tbl>
      <w:tblPr>
        <w:tblW w:w="899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395"/>
        <w:gridCol w:w="850"/>
        <w:gridCol w:w="1843"/>
        <w:gridCol w:w="19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91" w:hRule="atLeast"/>
        </w:trPr>
        <w:tc>
          <w:tcPr>
            <w:tcW w:w="4395" w:type="dxa"/>
            <w:shd w:val="clear" w:color="auto" w:fill="auto"/>
            <w:vAlign w:val="center"/>
          </w:tcPr>
          <w:p>
            <w:pPr>
              <w:jc w:val="center"/>
              <w:rPr>
                <w:sz w:val="20"/>
              </w:rPr>
            </w:pPr>
            <w:r>
              <w:rPr>
                <w:rFonts w:hint="eastAsia"/>
                <w:sz w:val="20"/>
              </w:rPr>
              <w:t>項目</w:t>
            </w:r>
          </w:p>
        </w:tc>
        <w:tc>
          <w:tcPr>
            <w:tcW w:w="850" w:type="dxa"/>
            <w:shd w:val="clear" w:color="auto" w:fill="auto"/>
            <w:vAlign w:val="center"/>
          </w:tcPr>
          <w:p>
            <w:pPr>
              <w:jc w:val="center"/>
              <w:rPr>
                <w:sz w:val="20"/>
              </w:rPr>
            </w:pPr>
            <w:r>
              <w:rPr>
                <w:rFonts w:hint="eastAsia"/>
                <w:sz w:val="20"/>
              </w:rPr>
              <w:t>附注</w:t>
            </w:r>
          </w:p>
        </w:tc>
        <w:tc>
          <w:tcPr>
            <w:tcW w:w="1843" w:type="dxa"/>
            <w:shd w:val="clear" w:color="000000" w:fill="FFFFFF"/>
            <w:vAlign w:val="center"/>
          </w:tcPr>
          <w:p>
            <w:pPr>
              <w:widowControl/>
              <w:jc w:val="center"/>
              <w:rPr>
                <w:sz w:val="20"/>
              </w:rPr>
            </w:pPr>
            <w:r>
              <w:rPr>
                <w:sz w:val="20"/>
              </w:rPr>
              <w:t>2017</w:t>
            </w:r>
            <w:r>
              <w:rPr>
                <w:rFonts w:hint="eastAsia"/>
                <w:sz w:val="20"/>
              </w:rPr>
              <w:t>年</w:t>
            </w:r>
          </w:p>
        </w:tc>
        <w:tc>
          <w:tcPr>
            <w:tcW w:w="1911" w:type="dxa"/>
            <w:shd w:val="clear" w:color="000000" w:fill="FFFFFF"/>
            <w:vAlign w:val="center"/>
          </w:tcPr>
          <w:p>
            <w:pPr>
              <w:widowControl/>
              <w:jc w:val="center"/>
              <w:rPr>
                <w:sz w:val="20"/>
              </w:rPr>
            </w:pPr>
            <w:r>
              <w:rPr>
                <w:sz w:val="20"/>
              </w:rPr>
              <w:t>2016</w:t>
            </w:r>
            <w:r>
              <w:rPr>
                <w:rFonts w:hint="eastAsia"/>
                <w:sz w:val="2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395" w:type="dxa"/>
            <w:shd w:val="clear" w:color="auto" w:fill="auto"/>
            <w:vAlign w:val="center"/>
          </w:tcPr>
          <w:p>
            <w:pPr>
              <w:rPr>
                <w:b/>
                <w:sz w:val="20"/>
              </w:rPr>
            </w:pPr>
            <w:r>
              <w:rPr>
                <w:rFonts w:hint="eastAsia"/>
                <w:b/>
                <w:sz w:val="20"/>
              </w:rPr>
              <w:t>一、營業總收入</w:t>
            </w:r>
          </w:p>
        </w:tc>
        <w:tc>
          <w:tcPr>
            <w:tcW w:w="850" w:type="dxa"/>
            <w:shd w:val="clear" w:color="auto" w:fill="auto"/>
            <w:vAlign w:val="center"/>
          </w:tcPr>
          <w:p>
            <w:pPr>
              <w:jc w:val="center"/>
              <w:rPr>
                <w:sz w:val="20"/>
              </w:rPr>
            </w:pPr>
          </w:p>
        </w:tc>
        <w:tc>
          <w:tcPr>
            <w:tcW w:w="1843" w:type="dxa"/>
            <w:shd w:val="clear" w:color="000000" w:fill="FFFFFF"/>
            <w:vAlign w:val="center"/>
          </w:tcPr>
          <w:p>
            <w:pPr>
              <w:widowControl/>
              <w:jc w:val="right"/>
              <w:rPr>
                <w:kern w:val="0"/>
                <w:sz w:val="20"/>
              </w:rPr>
            </w:pPr>
            <w:r>
              <w:rPr>
                <w:kern w:val="0"/>
                <w:sz w:val="20"/>
              </w:rPr>
              <w:t xml:space="preserve">4,515,716,784.19 </w:t>
            </w:r>
          </w:p>
        </w:tc>
        <w:tc>
          <w:tcPr>
            <w:tcW w:w="1911" w:type="dxa"/>
            <w:shd w:val="clear" w:color="000000" w:fill="FFFFFF"/>
            <w:vAlign w:val="center"/>
          </w:tcPr>
          <w:p>
            <w:pPr>
              <w:widowControl/>
              <w:jc w:val="right"/>
              <w:rPr>
                <w:kern w:val="0"/>
                <w:sz w:val="20"/>
              </w:rPr>
            </w:pPr>
            <w:r>
              <w:rPr>
                <w:kern w:val="0"/>
                <w:sz w:val="20"/>
              </w:rPr>
              <w:t xml:space="preserve">4,014,963,065.74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395" w:type="dxa"/>
            <w:shd w:val="clear" w:color="auto" w:fill="auto"/>
            <w:vAlign w:val="center"/>
          </w:tcPr>
          <w:p>
            <w:pPr>
              <w:rPr>
                <w:sz w:val="20"/>
              </w:rPr>
            </w:pPr>
            <w:r>
              <w:rPr>
                <w:rFonts w:hint="eastAsia"/>
                <w:sz w:val="20"/>
              </w:rPr>
              <w:t>其中：營業收入</w:t>
            </w:r>
          </w:p>
        </w:tc>
        <w:tc>
          <w:tcPr>
            <w:tcW w:w="850" w:type="dxa"/>
            <w:shd w:val="clear" w:color="auto" w:fill="auto"/>
            <w:vAlign w:val="center"/>
          </w:tcPr>
          <w:p>
            <w:pPr>
              <w:jc w:val="center"/>
              <w:rPr>
                <w:b/>
                <w:sz w:val="20"/>
              </w:rPr>
            </w:pPr>
            <w:r>
              <w:rPr>
                <w:sz w:val="20"/>
              </w:rPr>
              <w:t>10</w:t>
            </w:r>
          </w:p>
        </w:tc>
        <w:tc>
          <w:tcPr>
            <w:tcW w:w="1843" w:type="dxa"/>
            <w:shd w:val="clear" w:color="000000" w:fill="FFFFFF"/>
            <w:vAlign w:val="center"/>
          </w:tcPr>
          <w:p>
            <w:pPr>
              <w:widowControl/>
              <w:jc w:val="right"/>
              <w:rPr>
                <w:kern w:val="0"/>
                <w:sz w:val="20"/>
              </w:rPr>
            </w:pPr>
            <w:r>
              <w:rPr>
                <w:kern w:val="0"/>
                <w:sz w:val="20"/>
              </w:rPr>
              <w:t xml:space="preserve">4,515,716,784.19 </w:t>
            </w:r>
          </w:p>
        </w:tc>
        <w:tc>
          <w:tcPr>
            <w:tcW w:w="1911" w:type="dxa"/>
            <w:shd w:val="clear" w:color="000000" w:fill="FFFFFF"/>
            <w:vAlign w:val="center"/>
          </w:tcPr>
          <w:p>
            <w:pPr>
              <w:widowControl/>
              <w:jc w:val="right"/>
              <w:rPr>
                <w:kern w:val="0"/>
                <w:sz w:val="20"/>
              </w:rPr>
            </w:pPr>
            <w:r>
              <w:rPr>
                <w:kern w:val="0"/>
                <w:sz w:val="20"/>
              </w:rPr>
              <w:t xml:space="preserve">4,014,963,065.74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395" w:type="dxa"/>
            <w:shd w:val="clear" w:color="auto" w:fill="auto"/>
            <w:vAlign w:val="center"/>
          </w:tcPr>
          <w:p>
            <w:pPr>
              <w:rPr>
                <w:b/>
                <w:sz w:val="20"/>
              </w:rPr>
            </w:pPr>
            <w:r>
              <w:rPr>
                <w:rFonts w:hint="eastAsia"/>
                <w:b/>
                <w:sz w:val="20"/>
              </w:rPr>
              <w:t>二、營業總成本</w:t>
            </w:r>
          </w:p>
        </w:tc>
        <w:tc>
          <w:tcPr>
            <w:tcW w:w="850" w:type="dxa"/>
            <w:shd w:val="clear" w:color="auto" w:fill="auto"/>
            <w:vAlign w:val="center"/>
          </w:tcPr>
          <w:p>
            <w:pPr>
              <w:jc w:val="center"/>
              <w:rPr>
                <w:sz w:val="20"/>
              </w:rPr>
            </w:pPr>
          </w:p>
        </w:tc>
        <w:tc>
          <w:tcPr>
            <w:tcW w:w="1843" w:type="dxa"/>
            <w:shd w:val="clear" w:color="000000" w:fill="FFFFFF"/>
            <w:vAlign w:val="center"/>
          </w:tcPr>
          <w:p>
            <w:pPr>
              <w:widowControl/>
              <w:jc w:val="right"/>
              <w:rPr>
                <w:kern w:val="0"/>
                <w:sz w:val="20"/>
              </w:rPr>
            </w:pPr>
            <w:r>
              <w:rPr>
                <w:kern w:val="0"/>
                <w:sz w:val="20"/>
              </w:rPr>
              <w:t xml:space="preserve">4,298,618,395.23 </w:t>
            </w:r>
          </w:p>
        </w:tc>
        <w:tc>
          <w:tcPr>
            <w:tcW w:w="1911" w:type="dxa"/>
            <w:shd w:val="clear" w:color="000000" w:fill="FFFFFF"/>
            <w:vAlign w:val="center"/>
          </w:tcPr>
          <w:p>
            <w:pPr>
              <w:widowControl/>
              <w:jc w:val="right"/>
              <w:rPr>
                <w:kern w:val="0"/>
                <w:sz w:val="20"/>
              </w:rPr>
            </w:pPr>
            <w:r>
              <w:rPr>
                <w:kern w:val="0"/>
                <w:sz w:val="20"/>
              </w:rPr>
              <w:t xml:space="preserve">3,875,649,239.61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395" w:type="dxa"/>
            <w:shd w:val="clear" w:color="auto" w:fill="auto"/>
            <w:vAlign w:val="center"/>
          </w:tcPr>
          <w:p>
            <w:pPr>
              <w:rPr>
                <w:sz w:val="20"/>
              </w:rPr>
            </w:pPr>
            <w:r>
              <w:rPr>
                <w:rFonts w:hint="eastAsia"/>
                <w:sz w:val="20"/>
              </w:rPr>
              <w:t>其中：營業成本</w:t>
            </w:r>
          </w:p>
        </w:tc>
        <w:tc>
          <w:tcPr>
            <w:tcW w:w="850" w:type="dxa"/>
            <w:shd w:val="clear" w:color="auto" w:fill="auto"/>
            <w:vAlign w:val="center"/>
          </w:tcPr>
          <w:p>
            <w:pPr>
              <w:jc w:val="center"/>
              <w:rPr>
                <w:sz w:val="20"/>
              </w:rPr>
            </w:pPr>
            <w:r>
              <w:rPr>
                <w:sz w:val="20"/>
              </w:rPr>
              <w:t>10</w:t>
            </w:r>
          </w:p>
        </w:tc>
        <w:tc>
          <w:tcPr>
            <w:tcW w:w="1843" w:type="dxa"/>
            <w:shd w:val="clear" w:color="000000" w:fill="FFFFFF"/>
            <w:vAlign w:val="center"/>
          </w:tcPr>
          <w:p>
            <w:pPr>
              <w:widowControl/>
              <w:jc w:val="right"/>
              <w:rPr>
                <w:kern w:val="0"/>
                <w:sz w:val="20"/>
              </w:rPr>
            </w:pPr>
            <w:r>
              <w:rPr>
                <w:kern w:val="0"/>
                <w:sz w:val="20"/>
              </w:rPr>
              <w:t xml:space="preserve">3,247,615,838.86 </w:t>
            </w:r>
          </w:p>
        </w:tc>
        <w:tc>
          <w:tcPr>
            <w:tcW w:w="1911" w:type="dxa"/>
            <w:shd w:val="clear" w:color="000000" w:fill="FFFFFF"/>
            <w:vAlign w:val="center"/>
          </w:tcPr>
          <w:p>
            <w:pPr>
              <w:widowControl/>
              <w:jc w:val="right"/>
              <w:rPr>
                <w:kern w:val="0"/>
                <w:sz w:val="20"/>
              </w:rPr>
            </w:pPr>
            <w:r>
              <w:rPr>
                <w:kern w:val="0"/>
                <w:sz w:val="20"/>
              </w:rPr>
              <w:t xml:space="preserve">3,013,584,624.39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395" w:type="dxa"/>
            <w:shd w:val="clear" w:color="auto" w:fill="auto"/>
            <w:vAlign w:val="center"/>
          </w:tcPr>
          <w:p>
            <w:pPr>
              <w:rPr>
                <w:sz w:val="20"/>
              </w:rPr>
            </w:pPr>
            <w:r>
              <w:rPr>
                <w:sz w:val="20"/>
              </w:rPr>
              <w:t xml:space="preserve">      </w:t>
            </w:r>
            <w:r>
              <w:rPr>
                <w:rFonts w:hint="eastAsia"/>
                <w:sz w:val="20"/>
              </w:rPr>
              <w:t>稅金及附加</w:t>
            </w:r>
          </w:p>
        </w:tc>
        <w:tc>
          <w:tcPr>
            <w:tcW w:w="850" w:type="dxa"/>
            <w:shd w:val="clear" w:color="auto" w:fill="auto"/>
            <w:vAlign w:val="center"/>
          </w:tcPr>
          <w:p>
            <w:pPr>
              <w:jc w:val="center"/>
              <w:rPr>
                <w:sz w:val="20"/>
              </w:rPr>
            </w:pPr>
            <w:r>
              <w:rPr>
                <w:sz w:val="20"/>
              </w:rPr>
              <w:t>11</w:t>
            </w:r>
          </w:p>
        </w:tc>
        <w:tc>
          <w:tcPr>
            <w:tcW w:w="1843" w:type="dxa"/>
            <w:shd w:val="clear" w:color="000000" w:fill="FFFFFF"/>
            <w:vAlign w:val="center"/>
          </w:tcPr>
          <w:p>
            <w:pPr>
              <w:widowControl/>
              <w:jc w:val="right"/>
              <w:rPr>
                <w:kern w:val="0"/>
                <w:sz w:val="20"/>
              </w:rPr>
            </w:pPr>
            <w:r>
              <w:rPr>
                <w:kern w:val="0"/>
                <w:sz w:val="20"/>
              </w:rPr>
              <w:t xml:space="preserve">60,664,577.84 </w:t>
            </w:r>
          </w:p>
        </w:tc>
        <w:tc>
          <w:tcPr>
            <w:tcW w:w="1911" w:type="dxa"/>
            <w:shd w:val="clear" w:color="000000" w:fill="FFFFFF"/>
            <w:vAlign w:val="center"/>
          </w:tcPr>
          <w:p>
            <w:pPr>
              <w:widowControl/>
              <w:jc w:val="right"/>
              <w:rPr>
                <w:kern w:val="0"/>
                <w:sz w:val="20"/>
              </w:rPr>
            </w:pPr>
            <w:r>
              <w:rPr>
                <w:kern w:val="0"/>
                <w:sz w:val="20"/>
              </w:rPr>
              <w:t xml:space="preserve">50,356,102.80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395" w:type="dxa"/>
            <w:shd w:val="clear" w:color="auto" w:fill="auto"/>
            <w:vAlign w:val="center"/>
          </w:tcPr>
          <w:p>
            <w:pPr>
              <w:rPr>
                <w:sz w:val="20"/>
              </w:rPr>
            </w:pPr>
            <w:r>
              <w:rPr>
                <w:sz w:val="20"/>
              </w:rPr>
              <w:t xml:space="preserve">      </w:t>
            </w:r>
            <w:r>
              <w:rPr>
                <w:rFonts w:hint="eastAsia"/>
                <w:sz w:val="20"/>
              </w:rPr>
              <w:t>銷售費用</w:t>
            </w:r>
          </w:p>
        </w:tc>
        <w:tc>
          <w:tcPr>
            <w:tcW w:w="850" w:type="dxa"/>
            <w:shd w:val="clear" w:color="auto" w:fill="auto"/>
            <w:vAlign w:val="center"/>
          </w:tcPr>
          <w:p>
            <w:pPr>
              <w:jc w:val="center"/>
              <w:rPr>
                <w:sz w:val="20"/>
              </w:rPr>
            </w:pPr>
          </w:p>
        </w:tc>
        <w:tc>
          <w:tcPr>
            <w:tcW w:w="1843" w:type="dxa"/>
            <w:shd w:val="clear" w:color="000000" w:fill="FFFFFF"/>
            <w:vAlign w:val="center"/>
          </w:tcPr>
          <w:p>
            <w:pPr>
              <w:widowControl/>
              <w:jc w:val="right"/>
              <w:rPr>
                <w:kern w:val="0"/>
                <w:sz w:val="20"/>
              </w:rPr>
            </w:pPr>
            <w:r>
              <w:rPr>
                <w:kern w:val="0"/>
                <w:sz w:val="20"/>
              </w:rPr>
              <w:t xml:space="preserve">509,748,602.14 </w:t>
            </w:r>
          </w:p>
        </w:tc>
        <w:tc>
          <w:tcPr>
            <w:tcW w:w="1911" w:type="dxa"/>
            <w:shd w:val="clear" w:color="000000" w:fill="FFFFFF"/>
            <w:vAlign w:val="center"/>
          </w:tcPr>
          <w:p>
            <w:pPr>
              <w:widowControl/>
              <w:jc w:val="right"/>
              <w:rPr>
                <w:kern w:val="0"/>
                <w:sz w:val="20"/>
              </w:rPr>
            </w:pPr>
            <w:r>
              <w:rPr>
                <w:kern w:val="0"/>
                <w:sz w:val="20"/>
              </w:rPr>
              <w:t xml:space="preserve">404,317,945.51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395" w:type="dxa"/>
            <w:shd w:val="clear" w:color="auto" w:fill="auto"/>
            <w:vAlign w:val="center"/>
          </w:tcPr>
          <w:p>
            <w:pPr>
              <w:rPr>
                <w:sz w:val="20"/>
              </w:rPr>
            </w:pPr>
            <w:r>
              <w:rPr>
                <w:sz w:val="20"/>
              </w:rPr>
              <w:t xml:space="preserve">      </w:t>
            </w:r>
            <w:r>
              <w:rPr>
                <w:rFonts w:hint="eastAsia"/>
                <w:sz w:val="20"/>
              </w:rPr>
              <w:t>管理費用</w:t>
            </w:r>
          </w:p>
        </w:tc>
        <w:tc>
          <w:tcPr>
            <w:tcW w:w="850" w:type="dxa"/>
            <w:shd w:val="clear" w:color="auto" w:fill="auto"/>
            <w:vAlign w:val="center"/>
          </w:tcPr>
          <w:p>
            <w:pPr>
              <w:jc w:val="center"/>
              <w:rPr>
                <w:sz w:val="20"/>
              </w:rPr>
            </w:pPr>
          </w:p>
        </w:tc>
        <w:tc>
          <w:tcPr>
            <w:tcW w:w="1843" w:type="dxa"/>
            <w:shd w:val="clear" w:color="000000" w:fill="FFFFFF"/>
            <w:vAlign w:val="center"/>
          </w:tcPr>
          <w:p>
            <w:pPr>
              <w:widowControl/>
              <w:jc w:val="right"/>
              <w:rPr>
                <w:kern w:val="0"/>
                <w:sz w:val="20"/>
              </w:rPr>
            </w:pPr>
            <w:r>
              <w:rPr>
                <w:kern w:val="0"/>
                <w:sz w:val="20"/>
              </w:rPr>
              <w:t xml:space="preserve">384,708,247.89 </w:t>
            </w:r>
          </w:p>
        </w:tc>
        <w:tc>
          <w:tcPr>
            <w:tcW w:w="1911" w:type="dxa"/>
            <w:shd w:val="clear" w:color="000000" w:fill="FFFFFF"/>
            <w:vAlign w:val="center"/>
          </w:tcPr>
          <w:p>
            <w:pPr>
              <w:widowControl/>
              <w:jc w:val="right"/>
              <w:rPr>
                <w:kern w:val="0"/>
                <w:sz w:val="20"/>
              </w:rPr>
            </w:pPr>
            <w:r>
              <w:rPr>
                <w:kern w:val="0"/>
                <w:sz w:val="20"/>
              </w:rPr>
              <w:t xml:space="preserve">335,871,419.21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395" w:type="dxa"/>
            <w:shd w:val="clear" w:color="auto" w:fill="auto"/>
            <w:vAlign w:val="center"/>
          </w:tcPr>
          <w:p>
            <w:pPr>
              <w:rPr>
                <w:sz w:val="20"/>
              </w:rPr>
            </w:pPr>
            <w:r>
              <w:rPr>
                <w:sz w:val="20"/>
              </w:rPr>
              <w:t xml:space="preserve">      </w:t>
            </w:r>
            <w:r>
              <w:rPr>
                <w:rFonts w:hint="eastAsia"/>
                <w:sz w:val="20"/>
              </w:rPr>
              <w:t>財務費用</w:t>
            </w:r>
          </w:p>
        </w:tc>
        <w:tc>
          <w:tcPr>
            <w:tcW w:w="850" w:type="dxa"/>
            <w:shd w:val="clear" w:color="auto" w:fill="auto"/>
            <w:vAlign w:val="center"/>
          </w:tcPr>
          <w:p>
            <w:pPr>
              <w:jc w:val="center"/>
              <w:rPr>
                <w:sz w:val="20"/>
              </w:rPr>
            </w:pPr>
          </w:p>
        </w:tc>
        <w:tc>
          <w:tcPr>
            <w:tcW w:w="1843" w:type="dxa"/>
            <w:shd w:val="clear" w:color="000000" w:fill="FFFFFF"/>
            <w:vAlign w:val="center"/>
          </w:tcPr>
          <w:p>
            <w:pPr>
              <w:widowControl/>
              <w:jc w:val="right"/>
              <w:rPr>
                <w:kern w:val="0"/>
                <w:sz w:val="20"/>
              </w:rPr>
            </w:pPr>
            <w:r>
              <w:rPr>
                <w:kern w:val="0"/>
                <w:sz w:val="20"/>
              </w:rPr>
              <w:t xml:space="preserve">79,745,027.94 </w:t>
            </w:r>
          </w:p>
        </w:tc>
        <w:tc>
          <w:tcPr>
            <w:tcW w:w="1911" w:type="dxa"/>
            <w:shd w:val="clear" w:color="000000" w:fill="FFFFFF"/>
            <w:vAlign w:val="center"/>
          </w:tcPr>
          <w:p>
            <w:pPr>
              <w:widowControl/>
              <w:jc w:val="right"/>
              <w:rPr>
                <w:kern w:val="0"/>
                <w:sz w:val="20"/>
              </w:rPr>
            </w:pPr>
            <w:r>
              <w:rPr>
                <w:kern w:val="0"/>
                <w:sz w:val="20"/>
              </w:rPr>
              <w:t xml:space="preserve">51,838,422.75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395" w:type="dxa"/>
            <w:shd w:val="clear" w:color="auto" w:fill="auto"/>
            <w:vAlign w:val="center"/>
          </w:tcPr>
          <w:p>
            <w:pPr>
              <w:rPr>
                <w:sz w:val="20"/>
              </w:rPr>
            </w:pPr>
            <w:r>
              <w:rPr>
                <w:sz w:val="20"/>
              </w:rPr>
              <w:t xml:space="preserve">      </w:t>
            </w:r>
            <w:r>
              <w:rPr>
                <w:rFonts w:hint="eastAsia"/>
                <w:sz w:val="20"/>
              </w:rPr>
              <w:t>資產減值損失</w:t>
            </w:r>
          </w:p>
        </w:tc>
        <w:tc>
          <w:tcPr>
            <w:tcW w:w="850" w:type="dxa"/>
            <w:shd w:val="clear" w:color="auto" w:fill="auto"/>
            <w:vAlign w:val="center"/>
          </w:tcPr>
          <w:p>
            <w:pPr>
              <w:jc w:val="center"/>
              <w:rPr>
                <w:sz w:val="20"/>
              </w:rPr>
            </w:pPr>
            <w:r>
              <w:rPr>
                <w:rFonts w:hint="eastAsia"/>
                <w:sz w:val="20"/>
              </w:rPr>
              <w:t>12</w:t>
            </w:r>
          </w:p>
        </w:tc>
        <w:tc>
          <w:tcPr>
            <w:tcW w:w="1843" w:type="dxa"/>
            <w:shd w:val="clear" w:color="000000" w:fill="FFFFFF"/>
            <w:vAlign w:val="center"/>
          </w:tcPr>
          <w:p>
            <w:pPr>
              <w:widowControl/>
              <w:jc w:val="right"/>
              <w:rPr>
                <w:kern w:val="0"/>
                <w:sz w:val="20"/>
              </w:rPr>
            </w:pPr>
            <w:r>
              <w:rPr>
                <w:kern w:val="0"/>
                <w:sz w:val="20"/>
              </w:rPr>
              <w:t xml:space="preserve">16,136,100.56 </w:t>
            </w:r>
          </w:p>
        </w:tc>
        <w:tc>
          <w:tcPr>
            <w:tcW w:w="1911" w:type="dxa"/>
            <w:shd w:val="clear" w:color="000000" w:fill="FFFFFF"/>
            <w:vAlign w:val="center"/>
          </w:tcPr>
          <w:p>
            <w:pPr>
              <w:widowControl/>
              <w:jc w:val="right"/>
              <w:rPr>
                <w:kern w:val="0"/>
                <w:sz w:val="20"/>
              </w:rPr>
            </w:pPr>
            <w:r>
              <w:rPr>
                <w:kern w:val="0"/>
                <w:sz w:val="20"/>
              </w:rPr>
              <w:t xml:space="preserve">19,680,724.95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395" w:type="dxa"/>
            <w:shd w:val="clear" w:color="auto" w:fill="auto"/>
            <w:vAlign w:val="center"/>
          </w:tcPr>
          <w:p>
            <w:pPr>
              <w:rPr>
                <w:sz w:val="20"/>
                <w:lang w:eastAsia="zh-TW"/>
              </w:rPr>
            </w:pPr>
            <w:r>
              <w:rPr>
                <w:sz w:val="20"/>
                <w:lang w:eastAsia="zh-TW"/>
              </w:rPr>
              <w:t xml:space="preserve">  </w:t>
            </w:r>
            <w:r>
              <w:rPr>
                <w:rFonts w:hint="eastAsia"/>
                <w:sz w:val="20"/>
                <w:lang w:eastAsia="zh-TW"/>
              </w:rPr>
              <w:t>加：公允價值變動收益</w:t>
            </w:r>
          </w:p>
        </w:tc>
        <w:tc>
          <w:tcPr>
            <w:tcW w:w="850" w:type="dxa"/>
            <w:shd w:val="clear" w:color="auto" w:fill="auto"/>
            <w:vAlign w:val="center"/>
          </w:tcPr>
          <w:p>
            <w:pPr>
              <w:jc w:val="center"/>
              <w:rPr>
                <w:sz w:val="20"/>
                <w:lang w:eastAsia="zh-TW"/>
              </w:rPr>
            </w:pPr>
          </w:p>
        </w:tc>
        <w:tc>
          <w:tcPr>
            <w:tcW w:w="1843" w:type="dxa"/>
            <w:shd w:val="clear" w:color="000000" w:fill="FFFFFF"/>
            <w:vAlign w:val="center"/>
          </w:tcPr>
          <w:p>
            <w:pPr>
              <w:widowControl/>
              <w:jc w:val="right"/>
              <w:rPr>
                <w:kern w:val="0"/>
                <w:sz w:val="20"/>
                <w:lang w:eastAsia="zh-TW"/>
              </w:rPr>
            </w:pPr>
            <w:r>
              <w:rPr>
                <w:rFonts w:hint="eastAsia"/>
                <w:kern w:val="0"/>
                <w:sz w:val="20"/>
                <w:lang w:eastAsia="zh-TW"/>
              </w:rPr>
              <w:t>　</w:t>
            </w:r>
          </w:p>
        </w:tc>
        <w:tc>
          <w:tcPr>
            <w:tcW w:w="1911" w:type="dxa"/>
            <w:shd w:val="clear" w:color="000000" w:fill="FFFFFF"/>
            <w:vAlign w:val="center"/>
          </w:tcPr>
          <w:p>
            <w:pPr>
              <w:widowControl/>
              <w:jc w:val="right"/>
              <w:rPr>
                <w:kern w:val="0"/>
                <w:sz w:val="20"/>
                <w:lang w:eastAsia="zh-TW"/>
              </w:rPr>
            </w:pPr>
            <w:r>
              <w:rPr>
                <w:rFonts w:hint="eastAsia"/>
                <w:kern w:val="0"/>
                <w:sz w:val="20"/>
                <w:lang w:eastAsia="zh-TW"/>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395" w:type="dxa"/>
            <w:shd w:val="clear" w:color="auto" w:fill="auto"/>
            <w:vAlign w:val="center"/>
          </w:tcPr>
          <w:p>
            <w:pPr>
              <w:rPr>
                <w:sz w:val="20"/>
              </w:rPr>
            </w:pPr>
            <w:r>
              <w:rPr>
                <w:sz w:val="20"/>
                <w:lang w:eastAsia="zh-TW"/>
              </w:rPr>
              <w:t xml:space="preserve">      </w:t>
            </w:r>
            <w:r>
              <w:rPr>
                <w:rFonts w:hint="eastAsia"/>
                <w:sz w:val="20"/>
              </w:rPr>
              <w:t>投資收益</w:t>
            </w:r>
          </w:p>
        </w:tc>
        <w:tc>
          <w:tcPr>
            <w:tcW w:w="850" w:type="dxa"/>
            <w:shd w:val="clear" w:color="auto" w:fill="auto"/>
            <w:vAlign w:val="center"/>
          </w:tcPr>
          <w:p>
            <w:pPr>
              <w:jc w:val="center"/>
              <w:rPr>
                <w:sz w:val="20"/>
              </w:rPr>
            </w:pPr>
          </w:p>
        </w:tc>
        <w:tc>
          <w:tcPr>
            <w:tcW w:w="1843" w:type="dxa"/>
            <w:shd w:val="clear" w:color="000000" w:fill="FFFFFF"/>
            <w:vAlign w:val="center"/>
          </w:tcPr>
          <w:p>
            <w:pPr>
              <w:widowControl/>
              <w:jc w:val="right"/>
              <w:rPr>
                <w:kern w:val="0"/>
                <w:sz w:val="20"/>
              </w:rPr>
            </w:pPr>
            <w:r>
              <w:rPr>
                <w:kern w:val="0"/>
                <w:sz w:val="20"/>
              </w:rPr>
              <w:t xml:space="preserve">6,026,908.54 </w:t>
            </w:r>
          </w:p>
        </w:tc>
        <w:tc>
          <w:tcPr>
            <w:tcW w:w="1911" w:type="dxa"/>
            <w:shd w:val="clear" w:color="000000" w:fill="FFFFFF"/>
            <w:vAlign w:val="center"/>
          </w:tcPr>
          <w:p>
            <w:pPr>
              <w:widowControl/>
              <w:jc w:val="right"/>
              <w:rPr>
                <w:kern w:val="0"/>
                <w:sz w:val="20"/>
              </w:rPr>
            </w:pPr>
            <w:r>
              <w:rPr>
                <w:kern w:val="0"/>
                <w:sz w:val="20"/>
              </w:rPr>
              <w:t xml:space="preserve">7,852,686.97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5" w:hRule="atLeast"/>
        </w:trPr>
        <w:tc>
          <w:tcPr>
            <w:tcW w:w="4395" w:type="dxa"/>
            <w:shd w:val="clear" w:color="auto" w:fill="auto"/>
            <w:vAlign w:val="center"/>
          </w:tcPr>
          <w:p>
            <w:pPr>
              <w:rPr>
                <w:sz w:val="20"/>
                <w:lang w:eastAsia="zh-TW"/>
              </w:rPr>
            </w:pPr>
            <w:r>
              <w:rPr>
                <w:sz w:val="20"/>
                <w:lang w:eastAsia="zh-TW"/>
              </w:rPr>
              <w:t xml:space="preserve">      </w:t>
            </w:r>
            <w:r>
              <w:rPr>
                <w:rFonts w:hint="eastAsia"/>
                <w:sz w:val="20"/>
                <w:lang w:eastAsia="zh-TW"/>
              </w:rPr>
              <w:t>其中：對聯營企業和合營企業的投資收益</w:t>
            </w:r>
          </w:p>
        </w:tc>
        <w:tc>
          <w:tcPr>
            <w:tcW w:w="850" w:type="dxa"/>
            <w:shd w:val="clear" w:color="auto" w:fill="auto"/>
            <w:vAlign w:val="center"/>
          </w:tcPr>
          <w:p>
            <w:pPr>
              <w:jc w:val="center"/>
              <w:rPr>
                <w:sz w:val="20"/>
                <w:lang w:eastAsia="zh-TW"/>
              </w:rPr>
            </w:pPr>
          </w:p>
        </w:tc>
        <w:tc>
          <w:tcPr>
            <w:tcW w:w="1843" w:type="dxa"/>
            <w:shd w:val="clear" w:color="000000" w:fill="FFFFFF"/>
            <w:vAlign w:val="center"/>
          </w:tcPr>
          <w:p>
            <w:pPr>
              <w:widowControl/>
              <w:jc w:val="right"/>
              <w:rPr>
                <w:kern w:val="0"/>
                <w:sz w:val="20"/>
              </w:rPr>
            </w:pPr>
            <w:r>
              <w:rPr>
                <w:rFonts w:cs="宋体"/>
                <w:kern w:val="0"/>
                <w:sz w:val="20"/>
                <w:lang w:eastAsia="zh-TW"/>
              </w:rPr>
              <w:t>-</w:t>
            </w:r>
            <w:r>
              <w:rPr>
                <w:rFonts w:hint="eastAsia"/>
                <w:kern w:val="0"/>
                <w:sz w:val="20"/>
              </w:rPr>
              <w:t>　</w:t>
            </w:r>
          </w:p>
        </w:tc>
        <w:tc>
          <w:tcPr>
            <w:tcW w:w="1911" w:type="dxa"/>
            <w:shd w:val="clear" w:color="000000" w:fill="FFFFFF"/>
            <w:vAlign w:val="center"/>
          </w:tcPr>
          <w:p>
            <w:pPr>
              <w:widowControl/>
              <w:jc w:val="right"/>
              <w:rPr>
                <w:kern w:val="0"/>
                <w:sz w:val="20"/>
              </w:rPr>
            </w:pPr>
            <w:r>
              <w:rPr>
                <w:rFonts w:cs="宋体"/>
                <w:kern w:val="0"/>
                <w:sz w:val="20"/>
                <w:lang w:eastAsia="zh-TW"/>
              </w:rPr>
              <w:t>-</w:t>
            </w:r>
            <w:r>
              <w:rPr>
                <w:rFonts w:hint="eastAsia"/>
                <w:kern w:val="0"/>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395" w:type="dxa"/>
            <w:shd w:val="clear" w:color="auto" w:fill="auto"/>
            <w:vAlign w:val="center"/>
          </w:tcPr>
          <w:p>
            <w:pPr>
              <w:rPr>
                <w:sz w:val="20"/>
              </w:rPr>
            </w:pPr>
            <w:r>
              <w:rPr>
                <w:sz w:val="20"/>
              </w:rPr>
              <w:t xml:space="preserve">      </w:t>
            </w:r>
            <w:r>
              <w:rPr>
                <w:rFonts w:hint="eastAsia"/>
                <w:sz w:val="20"/>
              </w:rPr>
              <w:t>資產處置收益</w:t>
            </w:r>
          </w:p>
        </w:tc>
        <w:tc>
          <w:tcPr>
            <w:tcW w:w="850" w:type="dxa"/>
            <w:shd w:val="clear" w:color="auto" w:fill="auto"/>
            <w:vAlign w:val="center"/>
          </w:tcPr>
          <w:p>
            <w:pPr>
              <w:jc w:val="center"/>
              <w:rPr>
                <w:sz w:val="20"/>
              </w:rPr>
            </w:pPr>
          </w:p>
        </w:tc>
        <w:tc>
          <w:tcPr>
            <w:tcW w:w="1843" w:type="dxa"/>
            <w:shd w:val="clear" w:color="000000" w:fill="FFFFFF"/>
            <w:vAlign w:val="center"/>
          </w:tcPr>
          <w:p>
            <w:pPr>
              <w:widowControl/>
              <w:jc w:val="right"/>
              <w:rPr>
                <w:kern w:val="0"/>
                <w:sz w:val="20"/>
              </w:rPr>
            </w:pPr>
            <w:r>
              <w:rPr>
                <w:kern w:val="0"/>
                <w:sz w:val="20"/>
              </w:rPr>
              <w:t xml:space="preserve">46,047,264.22 </w:t>
            </w:r>
          </w:p>
        </w:tc>
        <w:tc>
          <w:tcPr>
            <w:tcW w:w="1911" w:type="dxa"/>
            <w:shd w:val="clear" w:color="000000" w:fill="FFFFFF"/>
            <w:vAlign w:val="center"/>
          </w:tcPr>
          <w:p>
            <w:pPr>
              <w:widowControl/>
              <w:jc w:val="right"/>
              <w:rPr>
                <w:kern w:val="0"/>
                <w:sz w:val="20"/>
              </w:rPr>
            </w:pPr>
            <w:r>
              <w:rPr>
                <w:kern w:val="0"/>
                <w:sz w:val="20"/>
              </w:rPr>
              <w:t xml:space="preserve">5,250,916.35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90" w:hRule="atLeast"/>
        </w:trPr>
        <w:tc>
          <w:tcPr>
            <w:tcW w:w="4395" w:type="dxa"/>
            <w:shd w:val="clear" w:color="auto" w:fill="auto"/>
            <w:vAlign w:val="center"/>
          </w:tcPr>
          <w:p>
            <w:pPr>
              <w:rPr>
                <w:b/>
                <w:sz w:val="20"/>
              </w:rPr>
            </w:pPr>
            <w:r>
              <w:rPr>
                <w:b/>
                <w:sz w:val="20"/>
              </w:rPr>
              <w:t xml:space="preserve">    </w:t>
            </w:r>
            <w:r>
              <w:rPr>
                <w:sz w:val="20"/>
              </w:rPr>
              <w:t xml:space="preserve">  其他收益</w:t>
            </w:r>
          </w:p>
        </w:tc>
        <w:tc>
          <w:tcPr>
            <w:tcW w:w="850" w:type="dxa"/>
            <w:shd w:val="clear" w:color="auto" w:fill="auto"/>
            <w:vAlign w:val="center"/>
          </w:tcPr>
          <w:p>
            <w:pPr>
              <w:jc w:val="center"/>
              <w:rPr>
                <w:b/>
                <w:sz w:val="20"/>
              </w:rPr>
            </w:pPr>
          </w:p>
        </w:tc>
        <w:tc>
          <w:tcPr>
            <w:tcW w:w="1843" w:type="dxa"/>
            <w:shd w:val="clear" w:color="000000" w:fill="FFFFFF"/>
            <w:vAlign w:val="center"/>
          </w:tcPr>
          <w:p>
            <w:pPr>
              <w:widowControl/>
              <w:jc w:val="right"/>
              <w:rPr>
                <w:kern w:val="0"/>
                <w:sz w:val="20"/>
              </w:rPr>
            </w:pPr>
            <w:r>
              <w:rPr>
                <w:rFonts w:hint="eastAsia"/>
                <w:kern w:val="0"/>
                <w:sz w:val="20"/>
              </w:rPr>
              <w:t>12,508,306.00</w:t>
            </w:r>
            <w:r>
              <w:rPr>
                <w:kern w:val="0"/>
                <w:sz w:val="20"/>
              </w:rPr>
              <w:t xml:space="preserve"> </w:t>
            </w:r>
          </w:p>
        </w:tc>
        <w:tc>
          <w:tcPr>
            <w:tcW w:w="1911" w:type="dxa"/>
            <w:shd w:val="clear" w:color="000000" w:fill="FFFFFF"/>
            <w:vAlign w:val="center"/>
          </w:tcPr>
          <w:p>
            <w:pPr>
              <w:widowControl/>
              <w:jc w:val="right"/>
              <w:rPr>
                <w:kern w:val="0"/>
                <w:sz w:val="20"/>
              </w:rPr>
            </w:pPr>
            <w:r>
              <w:rPr>
                <w:kern w:val="0"/>
                <w:sz w:val="20"/>
              </w:rPr>
              <w:t>-</w:t>
            </w:r>
            <w:r>
              <w:rPr>
                <w:rFonts w:hint="eastAsia"/>
                <w:kern w:val="0"/>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395" w:type="dxa"/>
            <w:shd w:val="clear" w:color="auto" w:fill="auto"/>
            <w:vAlign w:val="center"/>
          </w:tcPr>
          <w:p>
            <w:pPr>
              <w:rPr>
                <w:b/>
                <w:sz w:val="20"/>
              </w:rPr>
            </w:pPr>
            <w:r>
              <w:rPr>
                <w:rFonts w:hint="eastAsia"/>
                <w:b/>
                <w:sz w:val="20"/>
              </w:rPr>
              <w:t>三、營業利潤</w:t>
            </w:r>
          </w:p>
        </w:tc>
        <w:tc>
          <w:tcPr>
            <w:tcW w:w="850" w:type="dxa"/>
            <w:shd w:val="clear" w:color="auto" w:fill="auto"/>
            <w:vAlign w:val="center"/>
          </w:tcPr>
          <w:p>
            <w:pPr>
              <w:jc w:val="center"/>
              <w:rPr>
                <w:b/>
                <w:sz w:val="20"/>
              </w:rPr>
            </w:pPr>
          </w:p>
        </w:tc>
        <w:tc>
          <w:tcPr>
            <w:tcW w:w="1843" w:type="dxa"/>
            <w:shd w:val="clear" w:color="000000" w:fill="FFFFFF"/>
            <w:vAlign w:val="center"/>
          </w:tcPr>
          <w:p>
            <w:pPr>
              <w:widowControl/>
              <w:jc w:val="right"/>
              <w:rPr>
                <w:kern w:val="0"/>
                <w:sz w:val="20"/>
              </w:rPr>
            </w:pPr>
            <w:r>
              <w:rPr>
                <w:rFonts w:hint="eastAsia"/>
                <w:kern w:val="0"/>
                <w:sz w:val="20"/>
              </w:rPr>
              <w:t>281,680,867.72</w:t>
            </w:r>
            <w:r>
              <w:rPr>
                <w:kern w:val="0"/>
                <w:sz w:val="20"/>
              </w:rPr>
              <w:t xml:space="preserve"> </w:t>
            </w:r>
          </w:p>
        </w:tc>
        <w:tc>
          <w:tcPr>
            <w:tcW w:w="1911" w:type="dxa"/>
            <w:shd w:val="clear" w:color="000000" w:fill="FFFFFF"/>
            <w:vAlign w:val="center"/>
          </w:tcPr>
          <w:p>
            <w:pPr>
              <w:widowControl/>
              <w:jc w:val="right"/>
              <w:rPr>
                <w:kern w:val="0"/>
                <w:sz w:val="20"/>
              </w:rPr>
            </w:pPr>
            <w:r>
              <w:rPr>
                <w:kern w:val="0"/>
                <w:sz w:val="20"/>
              </w:rPr>
              <w:t xml:space="preserve">152,417,429.45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395" w:type="dxa"/>
            <w:shd w:val="clear" w:color="auto" w:fill="auto"/>
            <w:vAlign w:val="center"/>
          </w:tcPr>
          <w:p>
            <w:pPr>
              <w:rPr>
                <w:sz w:val="20"/>
              </w:rPr>
            </w:pPr>
            <w:r>
              <w:rPr>
                <w:sz w:val="20"/>
              </w:rPr>
              <w:t xml:space="preserve">  </w:t>
            </w:r>
            <w:r>
              <w:rPr>
                <w:rFonts w:hint="eastAsia"/>
                <w:sz w:val="20"/>
              </w:rPr>
              <w:t>加：營業外收入</w:t>
            </w:r>
          </w:p>
        </w:tc>
        <w:tc>
          <w:tcPr>
            <w:tcW w:w="850" w:type="dxa"/>
            <w:shd w:val="clear" w:color="auto" w:fill="auto"/>
            <w:vAlign w:val="center"/>
          </w:tcPr>
          <w:p>
            <w:pPr>
              <w:jc w:val="center"/>
              <w:rPr>
                <w:sz w:val="20"/>
              </w:rPr>
            </w:pPr>
          </w:p>
        </w:tc>
        <w:tc>
          <w:tcPr>
            <w:tcW w:w="1843" w:type="dxa"/>
            <w:shd w:val="clear" w:color="000000" w:fill="FFFFFF"/>
            <w:vAlign w:val="center"/>
          </w:tcPr>
          <w:p>
            <w:pPr>
              <w:widowControl/>
              <w:jc w:val="right"/>
              <w:rPr>
                <w:kern w:val="0"/>
                <w:sz w:val="20"/>
              </w:rPr>
            </w:pPr>
            <w:r>
              <w:rPr>
                <w:rFonts w:hint="eastAsia"/>
                <w:kern w:val="0"/>
                <w:sz w:val="20"/>
              </w:rPr>
              <w:t>10,920,615.95</w:t>
            </w:r>
          </w:p>
        </w:tc>
        <w:tc>
          <w:tcPr>
            <w:tcW w:w="1911" w:type="dxa"/>
            <w:shd w:val="clear" w:color="000000" w:fill="FFFFFF"/>
            <w:vAlign w:val="center"/>
          </w:tcPr>
          <w:p>
            <w:pPr>
              <w:widowControl/>
              <w:jc w:val="right"/>
              <w:rPr>
                <w:kern w:val="0"/>
                <w:sz w:val="20"/>
              </w:rPr>
            </w:pPr>
            <w:r>
              <w:rPr>
                <w:kern w:val="0"/>
                <w:sz w:val="20"/>
              </w:rPr>
              <w:t xml:space="preserve">21,527,324.94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395" w:type="dxa"/>
            <w:shd w:val="clear" w:color="auto" w:fill="auto"/>
            <w:vAlign w:val="center"/>
          </w:tcPr>
          <w:p>
            <w:pPr>
              <w:rPr>
                <w:sz w:val="20"/>
              </w:rPr>
            </w:pPr>
            <w:r>
              <w:rPr>
                <w:sz w:val="20"/>
              </w:rPr>
              <w:t xml:space="preserve">  </w:t>
            </w:r>
            <w:r>
              <w:rPr>
                <w:rFonts w:hint="eastAsia"/>
                <w:sz w:val="20"/>
              </w:rPr>
              <w:t>減：營業外支出</w:t>
            </w:r>
          </w:p>
        </w:tc>
        <w:tc>
          <w:tcPr>
            <w:tcW w:w="850" w:type="dxa"/>
            <w:shd w:val="clear" w:color="auto" w:fill="auto"/>
            <w:vAlign w:val="center"/>
          </w:tcPr>
          <w:p>
            <w:pPr>
              <w:jc w:val="center"/>
              <w:rPr>
                <w:sz w:val="20"/>
              </w:rPr>
            </w:pPr>
          </w:p>
        </w:tc>
        <w:tc>
          <w:tcPr>
            <w:tcW w:w="1843" w:type="dxa"/>
            <w:shd w:val="clear" w:color="000000" w:fill="FFFFFF"/>
            <w:vAlign w:val="center"/>
          </w:tcPr>
          <w:p>
            <w:pPr>
              <w:widowControl/>
              <w:jc w:val="right"/>
              <w:rPr>
                <w:kern w:val="0"/>
                <w:sz w:val="20"/>
              </w:rPr>
            </w:pPr>
            <w:r>
              <w:rPr>
                <w:kern w:val="0"/>
                <w:sz w:val="20"/>
              </w:rPr>
              <w:t xml:space="preserve">24,427,607.67 </w:t>
            </w:r>
          </w:p>
        </w:tc>
        <w:tc>
          <w:tcPr>
            <w:tcW w:w="1911" w:type="dxa"/>
            <w:shd w:val="clear" w:color="000000" w:fill="FFFFFF"/>
            <w:vAlign w:val="center"/>
          </w:tcPr>
          <w:p>
            <w:pPr>
              <w:widowControl/>
              <w:jc w:val="right"/>
              <w:rPr>
                <w:kern w:val="0"/>
                <w:sz w:val="20"/>
              </w:rPr>
            </w:pPr>
            <w:r>
              <w:rPr>
                <w:kern w:val="0"/>
                <w:sz w:val="20"/>
              </w:rPr>
              <w:t xml:space="preserve">13,976,262.18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395" w:type="dxa"/>
            <w:shd w:val="clear" w:color="auto" w:fill="auto"/>
            <w:vAlign w:val="center"/>
          </w:tcPr>
          <w:p>
            <w:pPr>
              <w:rPr>
                <w:b/>
                <w:sz w:val="20"/>
              </w:rPr>
            </w:pPr>
            <w:r>
              <w:rPr>
                <w:rFonts w:hint="eastAsia"/>
                <w:b/>
                <w:sz w:val="20"/>
              </w:rPr>
              <w:t>四、利潤總額</w:t>
            </w:r>
          </w:p>
        </w:tc>
        <w:tc>
          <w:tcPr>
            <w:tcW w:w="850" w:type="dxa"/>
            <w:shd w:val="clear" w:color="auto" w:fill="auto"/>
            <w:vAlign w:val="center"/>
          </w:tcPr>
          <w:p>
            <w:pPr>
              <w:jc w:val="center"/>
              <w:rPr>
                <w:b/>
                <w:sz w:val="20"/>
              </w:rPr>
            </w:pPr>
          </w:p>
        </w:tc>
        <w:tc>
          <w:tcPr>
            <w:tcW w:w="1843" w:type="dxa"/>
            <w:shd w:val="clear" w:color="000000" w:fill="FFFFFF"/>
            <w:vAlign w:val="center"/>
          </w:tcPr>
          <w:p>
            <w:pPr>
              <w:widowControl/>
              <w:jc w:val="right"/>
              <w:rPr>
                <w:kern w:val="0"/>
                <w:sz w:val="20"/>
              </w:rPr>
            </w:pPr>
            <w:r>
              <w:rPr>
                <w:kern w:val="0"/>
                <w:sz w:val="20"/>
              </w:rPr>
              <w:t xml:space="preserve">268,173,876.00 </w:t>
            </w:r>
          </w:p>
        </w:tc>
        <w:tc>
          <w:tcPr>
            <w:tcW w:w="1911" w:type="dxa"/>
            <w:shd w:val="clear" w:color="000000" w:fill="FFFFFF"/>
            <w:vAlign w:val="center"/>
          </w:tcPr>
          <w:p>
            <w:pPr>
              <w:widowControl/>
              <w:jc w:val="right"/>
              <w:rPr>
                <w:kern w:val="0"/>
                <w:sz w:val="20"/>
              </w:rPr>
            </w:pPr>
            <w:r>
              <w:rPr>
                <w:kern w:val="0"/>
                <w:sz w:val="20"/>
              </w:rPr>
              <w:t xml:space="preserve">159,968,492.21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395" w:type="dxa"/>
            <w:shd w:val="clear" w:color="auto" w:fill="auto"/>
            <w:vAlign w:val="center"/>
          </w:tcPr>
          <w:p>
            <w:pPr>
              <w:rPr>
                <w:sz w:val="20"/>
              </w:rPr>
            </w:pPr>
            <w:r>
              <w:rPr>
                <w:sz w:val="20"/>
              </w:rPr>
              <w:t xml:space="preserve">  </w:t>
            </w:r>
            <w:r>
              <w:rPr>
                <w:rFonts w:hint="eastAsia"/>
                <w:sz w:val="20"/>
              </w:rPr>
              <w:t>減：所得稅費用</w:t>
            </w:r>
          </w:p>
        </w:tc>
        <w:tc>
          <w:tcPr>
            <w:tcW w:w="850" w:type="dxa"/>
            <w:shd w:val="clear" w:color="auto" w:fill="auto"/>
            <w:vAlign w:val="center"/>
          </w:tcPr>
          <w:p>
            <w:pPr>
              <w:jc w:val="center"/>
              <w:rPr>
                <w:sz w:val="20"/>
              </w:rPr>
            </w:pPr>
            <w:r>
              <w:rPr>
                <w:rFonts w:hint="eastAsia"/>
                <w:sz w:val="20"/>
              </w:rPr>
              <w:t>13</w:t>
            </w:r>
          </w:p>
        </w:tc>
        <w:tc>
          <w:tcPr>
            <w:tcW w:w="1843" w:type="dxa"/>
            <w:shd w:val="clear" w:color="000000" w:fill="FFFFFF"/>
            <w:vAlign w:val="center"/>
          </w:tcPr>
          <w:p>
            <w:pPr>
              <w:widowControl/>
              <w:jc w:val="right"/>
              <w:rPr>
                <w:kern w:val="0"/>
                <w:sz w:val="20"/>
              </w:rPr>
            </w:pPr>
            <w:r>
              <w:rPr>
                <w:kern w:val="0"/>
                <w:sz w:val="20"/>
              </w:rPr>
              <w:t xml:space="preserve">46,925,124.11 </w:t>
            </w:r>
          </w:p>
        </w:tc>
        <w:tc>
          <w:tcPr>
            <w:tcW w:w="1911" w:type="dxa"/>
            <w:shd w:val="clear" w:color="000000" w:fill="FFFFFF"/>
            <w:vAlign w:val="center"/>
          </w:tcPr>
          <w:p>
            <w:pPr>
              <w:widowControl/>
              <w:jc w:val="right"/>
              <w:rPr>
                <w:kern w:val="0"/>
                <w:sz w:val="20"/>
              </w:rPr>
            </w:pPr>
            <w:r>
              <w:rPr>
                <w:kern w:val="0"/>
                <w:sz w:val="20"/>
              </w:rPr>
              <w:t xml:space="preserve">26,921,218.34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395" w:type="dxa"/>
            <w:shd w:val="clear" w:color="auto" w:fill="auto"/>
            <w:vAlign w:val="center"/>
          </w:tcPr>
          <w:p>
            <w:pPr>
              <w:rPr>
                <w:b/>
                <w:sz w:val="20"/>
              </w:rPr>
            </w:pPr>
            <w:r>
              <w:rPr>
                <w:rFonts w:hint="eastAsia"/>
                <w:b/>
                <w:sz w:val="20"/>
              </w:rPr>
              <w:t>五、淨利潤</w:t>
            </w:r>
          </w:p>
        </w:tc>
        <w:tc>
          <w:tcPr>
            <w:tcW w:w="850" w:type="dxa"/>
            <w:shd w:val="clear" w:color="auto" w:fill="auto"/>
            <w:vAlign w:val="center"/>
          </w:tcPr>
          <w:p>
            <w:pPr>
              <w:rPr>
                <w:b/>
                <w:sz w:val="20"/>
              </w:rPr>
            </w:pPr>
          </w:p>
        </w:tc>
        <w:tc>
          <w:tcPr>
            <w:tcW w:w="1843" w:type="dxa"/>
            <w:shd w:val="clear" w:color="000000" w:fill="FFFFFF"/>
            <w:vAlign w:val="center"/>
          </w:tcPr>
          <w:p>
            <w:pPr>
              <w:widowControl/>
              <w:jc w:val="right"/>
              <w:rPr>
                <w:kern w:val="0"/>
                <w:sz w:val="20"/>
              </w:rPr>
            </w:pPr>
            <w:r>
              <w:rPr>
                <w:kern w:val="0"/>
                <w:sz w:val="20"/>
              </w:rPr>
              <w:t xml:space="preserve">221,248,751.89 </w:t>
            </w:r>
          </w:p>
        </w:tc>
        <w:tc>
          <w:tcPr>
            <w:tcW w:w="1911" w:type="dxa"/>
            <w:shd w:val="clear" w:color="000000" w:fill="FFFFFF"/>
            <w:vAlign w:val="center"/>
          </w:tcPr>
          <w:p>
            <w:pPr>
              <w:widowControl/>
              <w:jc w:val="right"/>
              <w:rPr>
                <w:kern w:val="0"/>
                <w:sz w:val="20"/>
              </w:rPr>
            </w:pPr>
            <w:r>
              <w:rPr>
                <w:kern w:val="0"/>
                <w:sz w:val="20"/>
              </w:rPr>
              <w:t xml:space="preserve">133,047,273.87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395" w:type="dxa"/>
            <w:shd w:val="clear" w:color="000000" w:fill="FFFFFF"/>
            <w:vAlign w:val="bottom"/>
          </w:tcPr>
          <w:p>
            <w:pPr>
              <w:widowControl/>
              <w:jc w:val="left"/>
              <w:rPr>
                <w:b/>
                <w:sz w:val="20"/>
                <w:lang w:eastAsia="zh-TW"/>
              </w:rPr>
            </w:pPr>
            <w:r>
              <w:rPr>
                <w:rFonts w:hint="eastAsia"/>
                <w:b/>
                <w:kern w:val="0"/>
                <w:sz w:val="20"/>
                <w:lang w:eastAsia="zh-TW"/>
              </w:rPr>
              <w:t>（一）按經營持續性分類</w:t>
            </w:r>
            <w:r>
              <w:rPr>
                <w:rFonts w:cs="宋体"/>
                <w:b/>
                <w:bCs/>
                <w:kern w:val="0"/>
                <w:sz w:val="20"/>
                <w:lang w:eastAsia="zh-TW"/>
              </w:rPr>
              <w:t xml:space="preserve"> </w:t>
            </w:r>
            <w:r>
              <w:rPr>
                <w:rFonts w:hint="eastAsia" w:cs="宋体"/>
                <w:kern w:val="0"/>
                <w:sz w:val="20"/>
                <w:lang w:eastAsia="zh-TW"/>
              </w:rPr>
              <w:t>（淨虧損以括號填列）</w:t>
            </w:r>
            <w:r>
              <w:rPr>
                <w:rFonts w:hint="eastAsia"/>
                <w:b/>
                <w:kern w:val="0"/>
                <w:sz w:val="20"/>
                <w:lang w:eastAsia="zh-TW"/>
              </w:rPr>
              <w:t>：</w:t>
            </w:r>
          </w:p>
        </w:tc>
        <w:tc>
          <w:tcPr>
            <w:tcW w:w="850" w:type="dxa"/>
            <w:shd w:val="clear" w:color="auto" w:fill="auto"/>
            <w:vAlign w:val="center"/>
          </w:tcPr>
          <w:p>
            <w:pPr>
              <w:rPr>
                <w:b/>
                <w:sz w:val="20"/>
                <w:lang w:eastAsia="zh-TW"/>
              </w:rPr>
            </w:pPr>
          </w:p>
        </w:tc>
        <w:tc>
          <w:tcPr>
            <w:tcW w:w="1843" w:type="dxa"/>
            <w:shd w:val="clear" w:color="000000" w:fill="FFFFFF"/>
            <w:vAlign w:val="center"/>
          </w:tcPr>
          <w:p>
            <w:pPr>
              <w:widowControl/>
              <w:jc w:val="right"/>
              <w:rPr>
                <w:kern w:val="0"/>
                <w:sz w:val="20"/>
                <w:lang w:eastAsia="zh-TW"/>
              </w:rPr>
            </w:pPr>
            <w:r>
              <w:rPr>
                <w:rFonts w:hint="eastAsia"/>
                <w:kern w:val="0"/>
                <w:sz w:val="20"/>
                <w:lang w:eastAsia="zh-TW"/>
              </w:rPr>
              <w:t>　</w:t>
            </w:r>
          </w:p>
        </w:tc>
        <w:tc>
          <w:tcPr>
            <w:tcW w:w="1911" w:type="dxa"/>
            <w:shd w:val="clear" w:color="000000" w:fill="FFFFFF"/>
            <w:vAlign w:val="center"/>
          </w:tcPr>
          <w:p>
            <w:pPr>
              <w:widowControl/>
              <w:jc w:val="right"/>
              <w:rPr>
                <w:kern w:val="0"/>
                <w:sz w:val="20"/>
                <w:lang w:eastAsia="zh-TW"/>
              </w:rPr>
            </w:pPr>
            <w:r>
              <w:rPr>
                <w:rFonts w:hint="eastAsia"/>
                <w:kern w:val="0"/>
                <w:sz w:val="20"/>
                <w:lang w:eastAsia="zh-TW"/>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395" w:type="dxa"/>
            <w:shd w:val="clear" w:color="000000" w:fill="FFFFFF"/>
            <w:vAlign w:val="bottom"/>
          </w:tcPr>
          <w:p>
            <w:pPr>
              <w:widowControl/>
              <w:jc w:val="left"/>
              <w:rPr>
                <w:sz w:val="20"/>
              </w:rPr>
            </w:pPr>
            <w:r>
              <w:rPr>
                <w:kern w:val="0"/>
                <w:sz w:val="20"/>
                <w:lang w:eastAsia="zh-TW"/>
              </w:rPr>
              <w:t xml:space="preserve">    </w:t>
            </w:r>
            <w:r>
              <w:rPr>
                <w:kern w:val="0"/>
                <w:sz w:val="20"/>
              </w:rPr>
              <w:t xml:space="preserve">1. </w:t>
            </w:r>
            <w:r>
              <w:rPr>
                <w:rFonts w:hint="eastAsia"/>
                <w:kern w:val="0"/>
                <w:sz w:val="20"/>
              </w:rPr>
              <w:t>持續經營淨利潤</w:t>
            </w:r>
          </w:p>
        </w:tc>
        <w:tc>
          <w:tcPr>
            <w:tcW w:w="850" w:type="dxa"/>
            <w:shd w:val="clear" w:color="auto" w:fill="auto"/>
            <w:vAlign w:val="center"/>
          </w:tcPr>
          <w:p>
            <w:pPr>
              <w:rPr>
                <w:sz w:val="20"/>
              </w:rPr>
            </w:pPr>
          </w:p>
        </w:tc>
        <w:tc>
          <w:tcPr>
            <w:tcW w:w="1843" w:type="dxa"/>
            <w:shd w:val="clear" w:color="000000" w:fill="FFFFFF"/>
            <w:vAlign w:val="center"/>
          </w:tcPr>
          <w:p>
            <w:pPr>
              <w:widowControl/>
              <w:jc w:val="right"/>
              <w:rPr>
                <w:kern w:val="0"/>
                <w:sz w:val="20"/>
              </w:rPr>
            </w:pPr>
            <w:r>
              <w:rPr>
                <w:kern w:val="0"/>
                <w:sz w:val="20"/>
              </w:rPr>
              <w:t xml:space="preserve">221,248,751.89 </w:t>
            </w:r>
          </w:p>
        </w:tc>
        <w:tc>
          <w:tcPr>
            <w:tcW w:w="1911" w:type="dxa"/>
            <w:shd w:val="clear" w:color="000000" w:fill="FFFFFF"/>
            <w:vAlign w:val="center"/>
          </w:tcPr>
          <w:p>
            <w:pPr>
              <w:widowControl/>
              <w:jc w:val="right"/>
              <w:rPr>
                <w:kern w:val="0"/>
                <w:sz w:val="20"/>
              </w:rPr>
            </w:pPr>
            <w:r>
              <w:rPr>
                <w:kern w:val="0"/>
                <w:sz w:val="20"/>
              </w:rPr>
              <w:t xml:space="preserve">133,047,273.87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395" w:type="dxa"/>
            <w:shd w:val="clear" w:color="000000" w:fill="FFFFFF"/>
            <w:vAlign w:val="bottom"/>
          </w:tcPr>
          <w:p>
            <w:pPr>
              <w:widowControl/>
              <w:jc w:val="left"/>
              <w:rPr>
                <w:b/>
                <w:sz w:val="20"/>
              </w:rPr>
            </w:pPr>
            <w:r>
              <w:rPr>
                <w:kern w:val="0"/>
                <w:sz w:val="20"/>
              </w:rPr>
              <w:t xml:space="preserve">    2. </w:t>
            </w:r>
            <w:r>
              <w:rPr>
                <w:rFonts w:hint="eastAsia"/>
                <w:kern w:val="0"/>
                <w:sz w:val="20"/>
              </w:rPr>
              <w:t>終止經營淨利潤</w:t>
            </w:r>
          </w:p>
        </w:tc>
        <w:tc>
          <w:tcPr>
            <w:tcW w:w="850" w:type="dxa"/>
            <w:shd w:val="clear" w:color="auto" w:fill="auto"/>
            <w:vAlign w:val="center"/>
          </w:tcPr>
          <w:p>
            <w:pPr>
              <w:rPr>
                <w:sz w:val="20"/>
              </w:rPr>
            </w:pPr>
          </w:p>
        </w:tc>
        <w:tc>
          <w:tcPr>
            <w:tcW w:w="1843" w:type="dxa"/>
            <w:shd w:val="clear" w:color="000000" w:fill="FFFFFF"/>
            <w:vAlign w:val="center"/>
          </w:tcPr>
          <w:p>
            <w:pPr>
              <w:widowControl/>
              <w:jc w:val="right"/>
              <w:rPr>
                <w:kern w:val="0"/>
                <w:sz w:val="20"/>
              </w:rPr>
            </w:pPr>
            <w:r>
              <w:rPr>
                <w:rFonts w:hint="eastAsia"/>
                <w:kern w:val="0"/>
                <w:sz w:val="20"/>
              </w:rPr>
              <w:t>　</w:t>
            </w:r>
            <w:r>
              <w:rPr>
                <w:kern w:val="0"/>
                <w:sz w:val="20"/>
              </w:rPr>
              <w:t>-</w:t>
            </w:r>
          </w:p>
        </w:tc>
        <w:tc>
          <w:tcPr>
            <w:tcW w:w="1911" w:type="dxa"/>
            <w:shd w:val="clear" w:color="000000" w:fill="FFFFFF"/>
            <w:vAlign w:val="center"/>
          </w:tcPr>
          <w:p>
            <w:pPr>
              <w:widowControl/>
              <w:jc w:val="right"/>
              <w:rPr>
                <w:kern w:val="0"/>
                <w:sz w:val="20"/>
              </w:rPr>
            </w:pPr>
            <w:r>
              <w:rPr>
                <w:rFonts w:hint="eastAsia"/>
                <w:kern w:val="0"/>
                <w:sz w:val="20"/>
              </w:rPr>
              <w:t>　</w:t>
            </w:r>
            <w:r>
              <w:rPr>
                <w:kern w:val="0"/>
                <w:sz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395" w:type="dxa"/>
            <w:shd w:val="clear" w:color="000000" w:fill="FFFFFF"/>
            <w:vAlign w:val="bottom"/>
          </w:tcPr>
          <w:p>
            <w:pPr>
              <w:widowControl/>
              <w:jc w:val="left"/>
              <w:rPr>
                <w:b/>
                <w:sz w:val="20"/>
                <w:lang w:eastAsia="zh-TW"/>
              </w:rPr>
            </w:pPr>
            <w:r>
              <w:rPr>
                <w:rFonts w:hint="eastAsia"/>
                <w:b/>
                <w:kern w:val="0"/>
                <w:sz w:val="20"/>
                <w:lang w:eastAsia="zh-TW"/>
              </w:rPr>
              <w:t>（二）按所有權歸屬分類</w:t>
            </w:r>
            <w:r>
              <w:rPr>
                <w:rFonts w:cs="宋体"/>
                <w:b/>
                <w:bCs/>
                <w:kern w:val="0"/>
                <w:sz w:val="20"/>
                <w:lang w:eastAsia="zh-TW"/>
              </w:rPr>
              <w:t xml:space="preserve"> </w:t>
            </w:r>
            <w:r>
              <w:rPr>
                <w:rFonts w:hint="eastAsia" w:cs="宋体"/>
                <w:kern w:val="0"/>
                <w:sz w:val="20"/>
                <w:lang w:eastAsia="zh-TW"/>
              </w:rPr>
              <w:t>（淨虧損以括號填列）</w:t>
            </w:r>
            <w:r>
              <w:rPr>
                <w:rFonts w:hint="eastAsia"/>
                <w:b/>
                <w:kern w:val="0"/>
                <w:sz w:val="20"/>
                <w:lang w:eastAsia="zh-TW"/>
              </w:rPr>
              <w:t>：</w:t>
            </w:r>
          </w:p>
        </w:tc>
        <w:tc>
          <w:tcPr>
            <w:tcW w:w="850" w:type="dxa"/>
            <w:shd w:val="clear" w:color="auto" w:fill="auto"/>
            <w:vAlign w:val="center"/>
          </w:tcPr>
          <w:p>
            <w:pPr>
              <w:rPr>
                <w:b/>
                <w:sz w:val="20"/>
                <w:lang w:eastAsia="zh-TW"/>
              </w:rPr>
            </w:pPr>
          </w:p>
        </w:tc>
        <w:tc>
          <w:tcPr>
            <w:tcW w:w="1843" w:type="dxa"/>
            <w:shd w:val="clear" w:color="000000" w:fill="FFFFFF"/>
            <w:vAlign w:val="center"/>
          </w:tcPr>
          <w:p>
            <w:pPr>
              <w:widowControl/>
              <w:jc w:val="right"/>
              <w:rPr>
                <w:kern w:val="0"/>
                <w:sz w:val="20"/>
                <w:lang w:eastAsia="zh-TW"/>
              </w:rPr>
            </w:pPr>
            <w:r>
              <w:rPr>
                <w:rFonts w:hint="eastAsia"/>
                <w:kern w:val="0"/>
                <w:sz w:val="20"/>
                <w:lang w:eastAsia="zh-TW"/>
              </w:rPr>
              <w:t>　</w:t>
            </w:r>
          </w:p>
        </w:tc>
        <w:tc>
          <w:tcPr>
            <w:tcW w:w="1911" w:type="dxa"/>
            <w:shd w:val="clear" w:color="000000" w:fill="FFFFFF"/>
            <w:vAlign w:val="center"/>
          </w:tcPr>
          <w:p>
            <w:pPr>
              <w:widowControl/>
              <w:jc w:val="right"/>
              <w:rPr>
                <w:kern w:val="0"/>
                <w:sz w:val="20"/>
                <w:lang w:eastAsia="zh-TW"/>
              </w:rPr>
            </w:pPr>
            <w:r>
              <w:rPr>
                <w:rFonts w:hint="eastAsia"/>
                <w:kern w:val="0"/>
                <w:sz w:val="20"/>
                <w:lang w:eastAsia="zh-TW"/>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97" w:hRule="atLeast"/>
        </w:trPr>
        <w:tc>
          <w:tcPr>
            <w:tcW w:w="4395" w:type="dxa"/>
            <w:shd w:val="clear" w:color="000000" w:fill="FFFFFF"/>
            <w:vAlign w:val="bottom"/>
          </w:tcPr>
          <w:p>
            <w:pPr>
              <w:widowControl/>
              <w:jc w:val="left"/>
              <w:rPr>
                <w:sz w:val="20"/>
                <w:lang w:eastAsia="zh-TW"/>
              </w:rPr>
            </w:pPr>
            <w:r>
              <w:rPr>
                <w:kern w:val="0"/>
                <w:sz w:val="20"/>
                <w:lang w:eastAsia="zh-TW"/>
              </w:rPr>
              <w:t xml:space="preserve">    1. </w:t>
            </w:r>
            <w:r>
              <w:rPr>
                <w:rFonts w:hint="eastAsia"/>
                <w:kern w:val="0"/>
                <w:sz w:val="20"/>
                <w:lang w:eastAsia="zh-TW"/>
              </w:rPr>
              <w:t>歸屬於本公司股東的淨利潤</w:t>
            </w:r>
          </w:p>
        </w:tc>
        <w:tc>
          <w:tcPr>
            <w:tcW w:w="850" w:type="dxa"/>
            <w:shd w:val="clear" w:color="auto" w:fill="auto"/>
            <w:vAlign w:val="center"/>
          </w:tcPr>
          <w:p>
            <w:pPr>
              <w:rPr>
                <w:sz w:val="20"/>
                <w:lang w:eastAsia="zh-TW"/>
              </w:rPr>
            </w:pPr>
          </w:p>
        </w:tc>
        <w:tc>
          <w:tcPr>
            <w:tcW w:w="1843" w:type="dxa"/>
            <w:shd w:val="clear" w:color="000000" w:fill="FFFFFF"/>
            <w:vAlign w:val="center"/>
          </w:tcPr>
          <w:p>
            <w:pPr>
              <w:widowControl/>
              <w:jc w:val="right"/>
              <w:rPr>
                <w:kern w:val="0"/>
                <w:sz w:val="20"/>
              </w:rPr>
            </w:pPr>
            <w:r>
              <w:rPr>
                <w:kern w:val="0"/>
                <w:sz w:val="20"/>
              </w:rPr>
              <w:t xml:space="preserve">209,591,907.23 </w:t>
            </w:r>
          </w:p>
        </w:tc>
        <w:tc>
          <w:tcPr>
            <w:tcW w:w="1911" w:type="dxa"/>
            <w:shd w:val="clear" w:color="000000" w:fill="FFFFFF"/>
            <w:vAlign w:val="center"/>
          </w:tcPr>
          <w:p>
            <w:pPr>
              <w:widowControl/>
              <w:jc w:val="right"/>
              <w:rPr>
                <w:kern w:val="0"/>
                <w:sz w:val="20"/>
              </w:rPr>
            </w:pPr>
            <w:r>
              <w:rPr>
                <w:kern w:val="0"/>
                <w:sz w:val="20"/>
              </w:rPr>
              <w:t xml:space="preserve">122,271,549.68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3" w:hRule="atLeast"/>
        </w:trPr>
        <w:tc>
          <w:tcPr>
            <w:tcW w:w="4395" w:type="dxa"/>
            <w:shd w:val="clear" w:color="000000" w:fill="FFFFFF"/>
            <w:vAlign w:val="bottom"/>
          </w:tcPr>
          <w:p>
            <w:pPr>
              <w:widowControl/>
              <w:jc w:val="left"/>
              <w:rPr>
                <w:sz w:val="20"/>
              </w:rPr>
            </w:pPr>
            <w:r>
              <w:rPr>
                <w:kern w:val="0"/>
                <w:sz w:val="20"/>
              </w:rPr>
              <w:t xml:space="preserve">    2. </w:t>
            </w:r>
            <w:r>
              <w:rPr>
                <w:rFonts w:hint="eastAsia"/>
                <w:kern w:val="0"/>
                <w:sz w:val="20"/>
              </w:rPr>
              <w:t>少數股東損益</w:t>
            </w:r>
          </w:p>
        </w:tc>
        <w:tc>
          <w:tcPr>
            <w:tcW w:w="850" w:type="dxa"/>
            <w:shd w:val="clear" w:color="auto" w:fill="auto"/>
            <w:vAlign w:val="center"/>
          </w:tcPr>
          <w:p>
            <w:pPr>
              <w:rPr>
                <w:sz w:val="20"/>
              </w:rPr>
            </w:pPr>
          </w:p>
        </w:tc>
        <w:tc>
          <w:tcPr>
            <w:tcW w:w="1843" w:type="dxa"/>
            <w:shd w:val="clear" w:color="000000" w:fill="FFFFFF"/>
            <w:vAlign w:val="center"/>
          </w:tcPr>
          <w:p>
            <w:pPr>
              <w:widowControl/>
              <w:jc w:val="right"/>
              <w:rPr>
                <w:kern w:val="0"/>
                <w:sz w:val="20"/>
              </w:rPr>
            </w:pPr>
            <w:r>
              <w:rPr>
                <w:kern w:val="0"/>
                <w:sz w:val="20"/>
              </w:rPr>
              <w:t xml:space="preserve">11,656,844.66 </w:t>
            </w:r>
          </w:p>
        </w:tc>
        <w:tc>
          <w:tcPr>
            <w:tcW w:w="1911" w:type="dxa"/>
            <w:shd w:val="clear" w:color="000000" w:fill="FFFFFF"/>
            <w:vAlign w:val="center"/>
          </w:tcPr>
          <w:p>
            <w:pPr>
              <w:widowControl/>
              <w:jc w:val="right"/>
              <w:rPr>
                <w:kern w:val="0"/>
                <w:sz w:val="20"/>
              </w:rPr>
            </w:pPr>
            <w:r>
              <w:rPr>
                <w:kern w:val="0"/>
                <w:sz w:val="20"/>
              </w:rPr>
              <w:t xml:space="preserve">10,775,724.19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65" w:hRule="atLeast"/>
        </w:trPr>
        <w:tc>
          <w:tcPr>
            <w:tcW w:w="4395" w:type="dxa"/>
            <w:shd w:val="clear" w:color="000000" w:fill="FFFFFF"/>
            <w:vAlign w:val="center"/>
          </w:tcPr>
          <w:p>
            <w:pPr>
              <w:widowControl/>
              <w:jc w:val="left"/>
              <w:rPr>
                <w:sz w:val="20"/>
                <w:lang w:eastAsia="zh-TW"/>
              </w:rPr>
            </w:pPr>
            <w:r>
              <w:rPr>
                <w:rFonts w:hint="eastAsia"/>
                <w:b/>
                <w:kern w:val="0"/>
                <w:sz w:val="20"/>
                <w:lang w:eastAsia="zh-TW"/>
              </w:rPr>
              <w:t>六、其他綜合收益的稅後淨額</w:t>
            </w:r>
          </w:p>
        </w:tc>
        <w:tc>
          <w:tcPr>
            <w:tcW w:w="850" w:type="dxa"/>
            <w:shd w:val="clear" w:color="auto" w:fill="auto"/>
            <w:vAlign w:val="center"/>
          </w:tcPr>
          <w:p>
            <w:pPr>
              <w:rPr>
                <w:sz w:val="20"/>
                <w:lang w:eastAsia="zh-TW"/>
              </w:rPr>
            </w:pPr>
          </w:p>
        </w:tc>
        <w:tc>
          <w:tcPr>
            <w:tcW w:w="1843" w:type="dxa"/>
            <w:shd w:val="clear" w:color="000000" w:fill="FFFFFF"/>
            <w:vAlign w:val="center"/>
          </w:tcPr>
          <w:p>
            <w:pPr>
              <w:widowControl/>
              <w:jc w:val="right"/>
              <w:rPr>
                <w:kern w:val="0"/>
                <w:sz w:val="20"/>
              </w:rPr>
            </w:pPr>
            <w:r>
              <w:rPr>
                <w:kern w:val="0"/>
                <w:sz w:val="20"/>
              </w:rPr>
              <w:t xml:space="preserve">59,794,367.70 </w:t>
            </w:r>
          </w:p>
        </w:tc>
        <w:tc>
          <w:tcPr>
            <w:tcW w:w="1911" w:type="dxa"/>
            <w:shd w:val="clear" w:color="000000" w:fill="FFFFFF"/>
            <w:vAlign w:val="center"/>
          </w:tcPr>
          <w:p>
            <w:pPr>
              <w:widowControl/>
              <w:jc w:val="right"/>
              <w:rPr>
                <w:kern w:val="0"/>
                <w:sz w:val="20"/>
              </w:rPr>
            </w:pPr>
            <w:r>
              <w:rPr>
                <w:kern w:val="0"/>
                <w:sz w:val="20"/>
              </w:rPr>
              <w:t xml:space="preserve">(9,157,878.63)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4395" w:type="dxa"/>
            <w:shd w:val="clear" w:color="000000" w:fill="FFFFFF"/>
            <w:vAlign w:val="center"/>
          </w:tcPr>
          <w:p>
            <w:pPr>
              <w:widowControl/>
              <w:jc w:val="left"/>
              <w:rPr>
                <w:sz w:val="20"/>
                <w:lang w:eastAsia="zh-TW"/>
              </w:rPr>
            </w:pPr>
            <w:r>
              <w:rPr>
                <w:kern w:val="0"/>
                <w:sz w:val="20"/>
                <w:lang w:eastAsia="zh-TW"/>
              </w:rPr>
              <w:t xml:space="preserve">    </w:t>
            </w:r>
            <w:r>
              <w:rPr>
                <w:rFonts w:hint="eastAsia"/>
                <w:kern w:val="0"/>
                <w:sz w:val="20"/>
                <w:lang w:eastAsia="zh-TW"/>
              </w:rPr>
              <w:t>歸屬</w:t>
            </w:r>
            <w:r>
              <w:rPr>
                <w:rFonts w:hint="eastAsia" w:cs="宋体"/>
                <w:kern w:val="0"/>
                <w:sz w:val="20"/>
                <w:lang w:eastAsia="zh-TW"/>
              </w:rPr>
              <w:t>本公司</w:t>
            </w:r>
            <w:r>
              <w:rPr>
                <w:rFonts w:hint="eastAsia"/>
                <w:kern w:val="0"/>
                <w:sz w:val="20"/>
                <w:lang w:eastAsia="zh-TW"/>
              </w:rPr>
              <w:t>所有者的其他綜合收益的稅後淨額</w:t>
            </w:r>
          </w:p>
        </w:tc>
        <w:tc>
          <w:tcPr>
            <w:tcW w:w="850" w:type="dxa"/>
            <w:shd w:val="clear" w:color="auto" w:fill="auto"/>
            <w:vAlign w:val="center"/>
          </w:tcPr>
          <w:p>
            <w:pPr>
              <w:rPr>
                <w:sz w:val="20"/>
                <w:lang w:eastAsia="zh-TW"/>
              </w:rPr>
            </w:pPr>
          </w:p>
        </w:tc>
        <w:tc>
          <w:tcPr>
            <w:tcW w:w="1843" w:type="dxa"/>
            <w:shd w:val="clear" w:color="000000" w:fill="FFFFFF"/>
            <w:vAlign w:val="center"/>
          </w:tcPr>
          <w:p>
            <w:pPr>
              <w:widowControl/>
              <w:jc w:val="right"/>
              <w:rPr>
                <w:kern w:val="0"/>
                <w:sz w:val="20"/>
              </w:rPr>
            </w:pPr>
            <w:r>
              <w:rPr>
                <w:kern w:val="0"/>
                <w:sz w:val="20"/>
              </w:rPr>
              <w:t xml:space="preserve">59,964,184.38 </w:t>
            </w:r>
          </w:p>
        </w:tc>
        <w:tc>
          <w:tcPr>
            <w:tcW w:w="1911" w:type="dxa"/>
            <w:shd w:val="clear" w:color="000000" w:fill="FFFFFF"/>
            <w:vAlign w:val="center"/>
          </w:tcPr>
          <w:p>
            <w:pPr>
              <w:widowControl/>
              <w:jc w:val="right"/>
              <w:rPr>
                <w:kern w:val="0"/>
                <w:sz w:val="20"/>
              </w:rPr>
            </w:pPr>
            <w:r>
              <w:rPr>
                <w:kern w:val="0"/>
                <w:sz w:val="20"/>
              </w:rPr>
              <w:t xml:space="preserve">(8,962,029.69)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65" w:hRule="atLeast"/>
        </w:trPr>
        <w:tc>
          <w:tcPr>
            <w:tcW w:w="4395" w:type="dxa"/>
            <w:shd w:val="clear" w:color="000000" w:fill="FFFFFF"/>
            <w:vAlign w:val="center"/>
          </w:tcPr>
          <w:p>
            <w:pPr>
              <w:widowControl/>
              <w:jc w:val="left"/>
              <w:rPr>
                <w:sz w:val="20"/>
                <w:lang w:eastAsia="zh-TW"/>
              </w:rPr>
            </w:pPr>
            <w:r>
              <w:rPr>
                <w:kern w:val="0"/>
                <w:sz w:val="20"/>
                <w:lang w:eastAsia="zh-TW"/>
              </w:rPr>
              <w:t xml:space="preserve">      </w:t>
            </w:r>
            <w:r>
              <w:rPr>
                <w:rFonts w:hint="eastAsia"/>
                <w:kern w:val="0"/>
                <w:sz w:val="20"/>
                <w:lang w:eastAsia="zh-TW"/>
              </w:rPr>
              <w:t>（一）以後不能重分類進損益的其他綜合收益</w:t>
            </w:r>
          </w:p>
        </w:tc>
        <w:tc>
          <w:tcPr>
            <w:tcW w:w="850" w:type="dxa"/>
            <w:shd w:val="clear" w:color="auto" w:fill="auto"/>
            <w:vAlign w:val="center"/>
          </w:tcPr>
          <w:p>
            <w:pPr>
              <w:rPr>
                <w:sz w:val="20"/>
                <w:lang w:eastAsia="zh-TW"/>
              </w:rPr>
            </w:pPr>
          </w:p>
        </w:tc>
        <w:tc>
          <w:tcPr>
            <w:tcW w:w="1843" w:type="dxa"/>
            <w:shd w:val="clear" w:color="000000" w:fill="FFFFFF"/>
            <w:vAlign w:val="center"/>
          </w:tcPr>
          <w:p>
            <w:pPr>
              <w:widowControl/>
              <w:jc w:val="right"/>
              <w:rPr>
                <w:kern w:val="0"/>
                <w:sz w:val="20"/>
              </w:rPr>
            </w:pPr>
            <w:r>
              <w:rPr>
                <w:rFonts w:hint="eastAsia"/>
                <w:kern w:val="0"/>
                <w:sz w:val="20"/>
                <w:lang w:eastAsia="zh-TW"/>
              </w:rPr>
              <w:t>　</w:t>
            </w:r>
            <w:r>
              <w:rPr>
                <w:kern w:val="0"/>
                <w:sz w:val="20"/>
              </w:rPr>
              <w:t>-</w:t>
            </w:r>
          </w:p>
        </w:tc>
        <w:tc>
          <w:tcPr>
            <w:tcW w:w="1911" w:type="dxa"/>
            <w:shd w:val="clear" w:color="000000" w:fill="FFFFFF"/>
            <w:vAlign w:val="center"/>
          </w:tcPr>
          <w:p>
            <w:pPr>
              <w:widowControl/>
              <w:jc w:val="right"/>
              <w:rPr>
                <w:kern w:val="0"/>
                <w:sz w:val="20"/>
              </w:rPr>
            </w:pPr>
            <w:r>
              <w:rPr>
                <w:rFonts w:hint="eastAsia"/>
                <w:kern w:val="0"/>
                <w:sz w:val="20"/>
              </w:rPr>
              <w:t>　</w:t>
            </w:r>
            <w:r>
              <w:rPr>
                <w:kern w:val="0"/>
                <w:sz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395" w:type="dxa"/>
            <w:shd w:val="clear" w:color="000000" w:fill="FFFFFF"/>
            <w:vAlign w:val="center"/>
          </w:tcPr>
          <w:p>
            <w:pPr>
              <w:widowControl/>
              <w:jc w:val="left"/>
              <w:rPr>
                <w:sz w:val="20"/>
                <w:lang w:eastAsia="zh-TW"/>
              </w:rPr>
            </w:pPr>
            <w:r>
              <w:rPr>
                <w:kern w:val="0"/>
                <w:sz w:val="20"/>
                <w:lang w:eastAsia="zh-TW"/>
              </w:rPr>
              <w:t xml:space="preserve">      1.</w:t>
            </w:r>
            <w:r>
              <w:rPr>
                <w:rFonts w:hint="eastAsia"/>
                <w:kern w:val="0"/>
                <w:sz w:val="20"/>
                <w:lang w:eastAsia="zh-TW"/>
              </w:rPr>
              <w:t>重新計量設定受益計劃淨負債或淨資產的變動</w:t>
            </w:r>
          </w:p>
        </w:tc>
        <w:tc>
          <w:tcPr>
            <w:tcW w:w="850" w:type="dxa"/>
            <w:shd w:val="clear" w:color="auto" w:fill="auto"/>
            <w:vAlign w:val="center"/>
          </w:tcPr>
          <w:p>
            <w:pPr>
              <w:rPr>
                <w:sz w:val="20"/>
                <w:lang w:eastAsia="zh-TW"/>
              </w:rPr>
            </w:pPr>
          </w:p>
        </w:tc>
        <w:tc>
          <w:tcPr>
            <w:tcW w:w="1843" w:type="dxa"/>
            <w:shd w:val="clear" w:color="000000" w:fill="FFFFFF"/>
            <w:vAlign w:val="center"/>
          </w:tcPr>
          <w:p>
            <w:pPr>
              <w:widowControl/>
              <w:jc w:val="right"/>
              <w:rPr>
                <w:kern w:val="0"/>
                <w:sz w:val="20"/>
              </w:rPr>
            </w:pPr>
            <w:r>
              <w:rPr>
                <w:rFonts w:hint="eastAsia"/>
                <w:kern w:val="0"/>
                <w:sz w:val="20"/>
                <w:lang w:eastAsia="zh-TW"/>
              </w:rPr>
              <w:t>　</w:t>
            </w:r>
            <w:r>
              <w:rPr>
                <w:kern w:val="0"/>
                <w:sz w:val="20"/>
              </w:rPr>
              <w:t>-</w:t>
            </w:r>
          </w:p>
        </w:tc>
        <w:tc>
          <w:tcPr>
            <w:tcW w:w="1911" w:type="dxa"/>
            <w:shd w:val="clear" w:color="000000" w:fill="FFFFFF"/>
            <w:vAlign w:val="center"/>
          </w:tcPr>
          <w:p>
            <w:pPr>
              <w:widowControl/>
              <w:jc w:val="right"/>
              <w:rPr>
                <w:kern w:val="0"/>
                <w:sz w:val="20"/>
              </w:rPr>
            </w:pPr>
            <w:r>
              <w:rPr>
                <w:rFonts w:hint="eastAsia"/>
                <w:kern w:val="0"/>
                <w:sz w:val="20"/>
              </w:rPr>
              <w:t>　</w:t>
            </w:r>
            <w:r>
              <w:rPr>
                <w:kern w:val="0"/>
                <w:sz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65" w:hRule="atLeast"/>
        </w:trPr>
        <w:tc>
          <w:tcPr>
            <w:tcW w:w="4395" w:type="dxa"/>
            <w:shd w:val="clear" w:color="000000" w:fill="FFFFFF"/>
            <w:vAlign w:val="center"/>
          </w:tcPr>
          <w:p>
            <w:pPr>
              <w:widowControl/>
              <w:jc w:val="left"/>
              <w:rPr>
                <w:sz w:val="20"/>
                <w:lang w:eastAsia="zh-TW"/>
              </w:rPr>
            </w:pPr>
            <w:r>
              <w:rPr>
                <w:kern w:val="0"/>
                <w:sz w:val="20"/>
                <w:lang w:eastAsia="zh-TW"/>
              </w:rPr>
              <w:t xml:space="preserve">      2.</w:t>
            </w:r>
            <w:r>
              <w:rPr>
                <w:rFonts w:hint="eastAsia"/>
                <w:kern w:val="0"/>
                <w:sz w:val="20"/>
                <w:lang w:eastAsia="zh-TW"/>
              </w:rPr>
              <w:t>權益法下在被投資單位不能重分類進損益的其他綜合收益中享有的份額</w:t>
            </w:r>
          </w:p>
        </w:tc>
        <w:tc>
          <w:tcPr>
            <w:tcW w:w="850" w:type="dxa"/>
            <w:shd w:val="clear" w:color="auto" w:fill="auto"/>
            <w:vAlign w:val="center"/>
          </w:tcPr>
          <w:p>
            <w:pPr>
              <w:rPr>
                <w:sz w:val="20"/>
                <w:lang w:eastAsia="zh-TW"/>
              </w:rPr>
            </w:pPr>
          </w:p>
        </w:tc>
        <w:tc>
          <w:tcPr>
            <w:tcW w:w="1843" w:type="dxa"/>
            <w:shd w:val="clear" w:color="000000" w:fill="FFFFFF"/>
            <w:vAlign w:val="center"/>
          </w:tcPr>
          <w:p>
            <w:pPr>
              <w:widowControl/>
              <w:jc w:val="right"/>
              <w:rPr>
                <w:kern w:val="0"/>
                <w:sz w:val="20"/>
              </w:rPr>
            </w:pPr>
            <w:r>
              <w:rPr>
                <w:rFonts w:hint="eastAsia"/>
                <w:kern w:val="0"/>
                <w:sz w:val="20"/>
                <w:lang w:eastAsia="zh-TW"/>
              </w:rPr>
              <w:t>　</w:t>
            </w:r>
            <w:r>
              <w:rPr>
                <w:kern w:val="0"/>
                <w:sz w:val="20"/>
              </w:rPr>
              <w:t>-</w:t>
            </w:r>
          </w:p>
        </w:tc>
        <w:tc>
          <w:tcPr>
            <w:tcW w:w="1911" w:type="dxa"/>
            <w:shd w:val="clear" w:color="000000" w:fill="FFFFFF"/>
            <w:vAlign w:val="center"/>
          </w:tcPr>
          <w:p>
            <w:pPr>
              <w:widowControl/>
              <w:jc w:val="right"/>
              <w:rPr>
                <w:kern w:val="0"/>
                <w:sz w:val="20"/>
              </w:rPr>
            </w:pPr>
            <w:r>
              <w:rPr>
                <w:rFonts w:hint="eastAsia"/>
                <w:kern w:val="0"/>
                <w:sz w:val="20"/>
              </w:rPr>
              <w:t>　</w:t>
            </w:r>
            <w:r>
              <w:rPr>
                <w:kern w:val="0"/>
                <w:sz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395" w:type="dxa"/>
            <w:shd w:val="clear" w:color="000000" w:fill="FFFFFF"/>
            <w:vAlign w:val="center"/>
          </w:tcPr>
          <w:p>
            <w:pPr>
              <w:widowControl/>
              <w:jc w:val="left"/>
              <w:rPr>
                <w:sz w:val="20"/>
                <w:lang w:eastAsia="zh-TW"/>
              </w:rPr>
            </w:pPr>
            <w:r>
              <w:rPr>
                <w:kern w:val="0"/>
                <w:sz w:val="20"/>
                <w:lang w:eastAsia="zh-TW"/>
              </w:rPr>
              <w:t xml:space="preserve">      </w:t>
            </w:r>
            <w:r>
              <w:rPr>
                <w:rFonts w:hint="eastAsia"/>
                <w:kern w:val="0"/>
                <w:sz w:val="20"/>
                <w:lang w:eastAsia="zh-TW"/>
              </w:rPr>
              <w:t>（二）以後將重分類進損益的其他綜合收益</w:t>
            </w:r>
          </w:p>
        </w:tc>
        <w:tc>
          <w:tcPr>
            <w:tcW w:w="850" w:type="dxa"/>
            <w:shd w:val="clear" w:color="auto" w:fill="auto"/>
            <w:vAlign w:val="center"/>
          </w:tcPr>
          <w:p>
            <w:pPr>
              <w:rPr>
                <w:sz w:val="20"/>
                <w:lang w:eastAsia="zh-TW"/>
              </w:rPr>
            </w:pPr>
          </w:p>
        </w:tc>
        <w:tc>
          <w:tcPr>
            <w:tcW w:w="1843" w:type="dxa"/>
            <w:shd w:val="clear" w:color="000000" w:fill="FFFFFF"/>
            <w:vAlign w:val="center"/>
          </w:tcPr>
          <w:p>
            <w:pPr>
              <w:widowControl/>
              <w:jc w:val="right"/>
              <w:rPr>
                <w:kern w:val="0"/>
                <w:sz w:val="20"/>
              </w:rPr>
            </w:pPr>
            <w:r>
              <w:rPr>
                <w:kern w:val="0"/>
                <w:sz w:val="20"/>
              </w:rPr>
              <w:t xml:space="preserve">59,964,184.38 </w:t>
            </w:r>
          </w:p>
        </w:tc>
        <w:tc>
          <w:tcPr>
            <w:tcW w:w="1911" w:type="dxa"/>
            <w:shd w:val="clear" w:color="000000" w:fill="FFFFFF"/>
            <w:vAlign w:val="center"/>
          </w:tcPr>
          <w:p>
            <w:pPr>
              <w:widowControl/>
              <w:jc w:val="right"/>
              <w:rPr>
                <w:kern w:val="0"/>
                <w:sz w:val="20"/>
              </w:rPr>
            </w:pPr>
            <w:r>
              <w:rPr>
                <w:kern w:val="0"/>
                <w:sz w:val="20"/>
              </w:rPr>
              <w:t xml:space="preserve">(8,962,029.69)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395" w:type="dxa"/>
            <w:shd w:val="clear" w:color="000000" w:fill="FFFFFF"/>
            <w:vAlign w:val="center"/>
          </w:tcPr>
          <w:p>
            <w:pPr>
              <w:widowControl/>
              <w:jc w:val="left"/>
              <w:rPr>
                <w:sz w:val="20"/>
                <w:lang w:eastAsia="zh-TW"/>
              </w:rPr>
            </w:pPr>
            <w:r>
              <w:rPr>
                <w:kern w:val="0"/>
                <w:sz w:val="20"/>
                <w:lang w:eastAsia="zh-TW"/>
              </w:rPr>
              <w:t xml:space="preserve">      1.</w:t>
            </w:r>
            <w:r>
              <w:rPr>
                <w:rFonts w:hint="eastAsia"/>
                <w:kern w:val="0"/>
                <w:sz w:val="20"/>
                <w:lang w:eastAsia="zh-TW"/>
              </w:rPr>
              <w:t>權益法下在被投資單位以後將重分類進損益的其他綜合收益中享有的份額</w:t>
            </w:r>
          </w:p>
        </w:tc>
        <w:tc>
          <w:tcPr>
            <w:tcW w:w="850" w:type="dxa"/>
            <w:shd w:val="clear" w:color="auto" w:fill="auto"/>
            <w:vAlign w:val="center"/>
          </w:tcPr>
          <w:p>
            <w:pPr>
              <w:rPr>
                <w:sz w:val="20"/>
                <w:lang w:eastAsia="zh-TW"/>
              </w:rPr>
            </w:pPr>
          </w:p>
        </w:tc>
        <w:tc>
          <w:tcPr>
            <w:tcW w:w="1843" w:type="dxa"/>
            <w:shd w:val="clear" w:color="000000" w:fill="FFFFFF"/>
            <w:vAlign w:val="center"/>
          </w:tcPr>
          <w:p>
            <w:pPr>
              <w:widowControl/>
              <w:jc w:val="right"/>
              <w:rPr>
                <w:kern w:val="0"/>
                <w:sz w:val="20"/>
              </w:rPr>
            </w:pPr>
            <w:r>
              <w:rPr>
                <w:rFonts w:hint="eastAsia"/>
                <w:kern w:val="0"/>
                <w:sz w:val="20"/>
                <w:lang w:eastAsia="zh-TW"/>
              </w:rPr>
              <w:t>　</w:t>
            </w:r>
            <w:r>
              <w:rPr>
                <w:kern w:val="0"/>
                <w:sz w:val="20"/>
              </w:rPr>
              <w:t>-</w:t>
            </w:r>
          </w:p>
        </w:tc>
        <w:tc>
          <w:tcPr>
            <w:tcW w:w="1911" w:type="dxa"/>
            <w:shd w:val="clear" w:color="000000" w:fill="FFFFFF"/>
            <w:vAlign w:val="center"/>
          </w:tcPr>
          <w:p>
            <w:pPr>
              <w:widowControl/>
              <w:jc w:val="right"/>
              <w:rPr>
                <w:kern w:val="0"/>
                <w:sz w:val="20"/>
              </w:rPr>
            </w:pPr>
            <w:r>
              <w:rPr>
                <w:rFonts w:hint="eastAsia"/>
                <w:kern w:val="0"/>
                <w:sz w:val="20"/>
              </w:rPr>
              <w:t>　</w:t>
            </w:r>
            <w:r>
              <w:rPr>
                <w:kern w:val="0"/>
                <w:sz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395" w:type="dxa"/>
            <w:shd w:val="clear" w:color="000000" w:fill="FFFFFF"/>
            <w:vAlign w:val="center"/>
          </w:tcPr>
          <w:p>
            <w:pPr>
              <w:widowControl/>
              <w:jc w:val="left"/>
              <w:rPr>
                <w:sz w:val="20"/>
                <w:lang w:eastAsia="zh-TW"/>
              </w:rPr>
            </w:pPr>
            <w:r>
              <w:rPr>
                <w:kern w:val="0"/>
                <w:sz w:val="20"/>
                <w:lang w:eastAsia="zh-TW"/>
              </w:rPr>
              <w:t xml:space="preserve">      2.</w:t>
            </w:r>
            <w:r>
              <w:rPr>
                <w:rFonts w:hint="eastAsia"/>
                <w:kern w:val="0"/>
                <w:sz w:val="20"/>
                <w:lang w:eastAsia="zh-TW"/>
              </w:rPr>
              <w:t>可供出售金融資產公允價值變動損益</w:t>
            </w:r>
          </w:p>
        </w:tc>
        <w:tc>
          <w:tcPr>
            <w:tcW w:w="850" w:type="dxa"/>
            <w:shd w:val="clear" w:color="auto" w:fill="auto"/>
            <w:vAlign w:val="center"/>
          </w:tcPr>
          <w:p>
            <w:pPr>
              <w:rPr>
                <w:sz w:val="20"/>
                <w:lang w:eastAsia="zh-TW"/>
              </w:rPr>
            </w:pPr>
          </w:p>
        </w:tc>
        <w:tc>
          <w:tcPr>
            <w:tcW w:w="1843" w:type="dxa"/>
            <w:shd w:val="clear" w:color="000000" w:fill="FFFFFF"/>
            <w:vAlign w:val="center"/>
          </w:tcPr>
          <w:p>
            <w:pPr>
              <w:widowControl/>
              <w:jc w:val="right"/>
              <w:rPr>
                <w:kern w:val="0"/>
                <w:sz w:val="20"/>
              </w:rPr>
            </w:pPr>
            <w:r>
              <w:rPr>
                <w:kern w:val="0"/>
                <w:sz w:val="20"/>
              </w:rPr>
              <w:t xml:space="preserve">61,086,480.80 </w:t>
            </w:r>
          </w:p>
        </w:tc>
        <w:tc>
          <w:tcPr>
            <w:tcW w:w="1911" w:type="dxa"/>
            <w:shd w:val="clear" w:color="000000" w:fill="FFFFFF"/>
            <w:vAlign w:val="center"/>
          </w:tcPr>
          <w:p>
            <w:pPr>
              <w:widowControl/>
              <w:jc w:val="right"/>
              <w:rPr>
                <w:kern w:val="0"/>
                <w:sz w:val="20"/>
              </w:rPr>
            </w:pPr>
            <w:r>
              <w:rPr>
                <w:kern w:val="0"/>
                <w:sz w:val="20"/>
              </w:rPr>
              <w:t xml:space="preserve">(9,313,334.40)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395" w:type="dxa"/>
            <w:shd w:val="clear" w:color="000000" w:fill="FFFFFF"/>
            <w:vAlign w:val="center"/>
          </w:tcPr>
          <w:p>
            <w:pPr>
              <w:widowControl/>
              <w:jc w:val="left"/>
              <w:rPr>
                <w:sz w:val="20"/>
                <w:lang w:eastAsia="zh-TW"/>
              </w:rPr>
            </w:pPr>
            <w:r>
              <w:rPr>
                <w:kern w:val="0"/>
                <w:sz w:val="20"/>
                <w:lang w:eastAsia="zh-TW"/>
              </w:rPr>
              <w:t xml:space="preserve">      3.</w:t>
            </w:r>
            <w:r>
              <w:rPr>
                <w:rFonts w:hint="eastAsia"/>
                <w:kern w:val="0"/>
                <w:sz w:val="20"/>
                <w:lang w:eastAsia="zh-TW"/>
              </w:rPr>
              <w:t>持有至到期投資重分類為可供出售金融資產損益</w:t>
            </w:r>
          </w:p>
        </w:tc>
        <w:tc>
          <w:tcPr>
            <w:tcW w:w="850" w:type="dxa"/>
            <w:shd w:val="clear" w:color="auto" w:fill="auto"/>
            <w:vAlign w:val="center"/>
          </w:tcPr>
          <w:p>
            <w:pPr>
              <w:rPr>
                <w:sz w:val="20"/>
                <w:lang w:eastAsia="zh-TW"/>
              </w:rPr>
            </w:pPr>
          </w:p>
        </w:tc>
        <w:tc>
          <w:tcPr>
            <w:tcW w:w="1843" w:type="dxa"/>
            <w:shd w:val="clear" w:color="000000" w:fill="FFFFFF"/>
            <w:vAlign w:val="center"/>
          </w:tcPr>
          <w:p>
            <w:pPr>
              <w:widowControl/>
              <w:jc w:val="right"/>
              <w:rPr>
                <w:kern w:val="0"/>
                <w:sz w:val="20"/>
              </w:rPr>
            </w:pPr>
            <w:r>
              <w:rPr>
                <w:rFonts w:hint="eastAsia"/>
                <w:kern w:val="0"/>
                <w:sz w:val="20"/>
                <w:lang w:eastAsia="zh-TW"/>
              </w:rPr>
              <w:t>　</w:t>
            </w:r>
            <w:r>
              <w:rPr>
                <w:kern w:val="0"/>
                <w:sz w:val="20"/>
              </w:rPr>
              <w:t>-</w:t>
            </w:r>
          </w:p>
        </w:tc>
        <w:tc>
          <w:tcPr>
            <w:tcW w:w="1911" w:type="dxa"/>
            <w:shd w:val="clear" w:color="000000" w:fill="FFFFFF"/>
            <w:vAlign w:val="center"/>
          </w:tcPr>
          <w:p>
            <w:pPr>
              <w:widowControl/>
              <w:jc w:val="right"/>
              <w:rPr>
                <w:kern w:val="0"/>
                <w:sz w:val="20"/>
              </w:rPr>
            </w:pPr>
            <w:r>
              <w:rPr>
                <w:rFonts w:hint="eastAsia"/>
                <w:kern w:val="0"/>
                <w:sz w:val="20"/>
              </w:rPr>
              <w:t>　</w:t>
            </w:r>
            <w:r>
              <w:rPr>
                <w:kern w:val="0"/>
                <w:sz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395" w:type="dxa"/>
            <w:shd w:val="clear" w:color="000000" w:fill="FFFFFF"/>
            <w:vAlign w:val="center"/>
          </w:tcPr>
          <w:p>
            <w:pPr>
              <w:widowControl/>
              <w:jc w:val="left"/>
              <w:rPr>
                <w:b/>
                <w:sz w:val="20"/>
                <w:lang w:eastAsia="zh-TW"/>
              </w:rPr>
            </w:pPr>
            <w:r>
              <w:rPr>
                <w:kern w:val="0"/>
                <w:sz w:val="20"/>
                <w:lang w:eastAsia="zh-TW"/>
              </w:rPr>
              <w:t xml:space="preserve">      4.</w:t>
            </w:r>
            <w:r>
              <w:rPr>
                <w:rFonts w:hint="eastAsia"/>
                <w:kern w:val="0"/>
                <w:sz w:val="20"/>
                <w:lang w:eastAsia="zh-TW"/>
              </w:rPr>
              <w:t>現金流量套期損益的有效部分</w:t>
            </w:r>
          </w:p>
        </w:tc>
        <w:tc>
          <w:tcPr>
            <w:tcW w:w="850" w:type="dxa"/>
            <w:shd w:val="clear" w:color="auto" w:fill="auto"/>
            <w:vAlign w:val="center"/>
          </w:tcPr>
          <w:p>
            <w:pPr>
              <w:rPr>
                <w:sz w:val="20"/>
                <w:lang w:eastAsia="zh-TW"/>
              </w:rPr>
            </w:pPr>
          </w:p>
        </w:tc>
        <w:tc>
          <w:tcPr>
            <w:tcW w:w="1843" w:type="dxa"/>
            <w:shd w:val="clear" w:color="000000" w:fill="FFFFFF"/>
            <w:vAlign w:val="center"/>
          </w:tcPr>
          <w:p>
            <w:pPr>
              <w:widowControl/>
              <w:jc w:val="right"/>
              <w:rPr>
                <w:kern w:val="0"/>
                <w:sz w:val="20"/>
              </w:rPr>
            </w:pPr>
            <w:r>
              <w:rPr>
                <w:rFonts w:hint="eastAsia"/>
                <w:kern w:val="0"/>
                <w:sz w:val="20"/>
                <w:lang w:eastAsia="zh-TW"/>
              </w:rPr>
              <w:t>　</w:t>
            </w:r>
            <w:r>
              <w:rPr>
                <w:kern w:val="0"/>
                <w:sz w:val="20"/>
              </w:rPr>
              <w:t>-</w:t>
            </w:r>
          </w:p>
        </w:tc>
        <w:tc>
          <w:tcPr>
            <w:tcW w:w="1911" w:type="dxa"/>
            <w:shd w:val="clear" w:color="000000" w:fill="FFFFFF"/>
            <w:vAlign w:val="center"/>
          </w:tcPr>
          <w:p>
            <w:pPr>
              <w:widowControl/>
              <w:jc w:val="right"/>
              <w:rPr>
                <w:kern w:val="0"/>
                <w:sz w:val="20"/>
              </w:rPr>
            </w:pPr>
            <w:r>
              <w:rPr>
                <w:rFonts w:hint="eastAsia"/>
                <w:kern w:val="0"/>
                <w:sz w:val="20"/>
              </w:rPr>
              <w:t>　</w:t>
            </w:r>
            <w:r>
              <w:rPr>
                <w:kern w:val="0"/>
                <w:sz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395" w:type="dxa"/>
            <w:shd w:val="clear" w:color="000000" w:fill="FFFFFF"/>
            <w:vAlign w:val="center"/>
          </w:tcPr>
          <w:p>
            <w:pPr>
              <w:widowControl/>
              <w:jc w:val="left"/>
              <w:rPr>
                <w:b/>
                <w:sz w:val="20"/>
                <w:lang w:eastAsia="zh-TW"/>
              </w:rPr>
            </w:pPr>
            <w:r>
              <w:rPr>
                <w:kern w:val="0"/>
                <w:sz w:val="20"/>
                <w:lang w:eastAsia="zh-TW"/>
              </w:rPr>
              <w:t xml:space="preserve">      5.</w:t>
            </w:r>
            <w:r>
              <w:rPr>
                <w:rFonts w:hint="eastAsia"/>
                <w:kern w:val="0"/>
                <w:sz w:val="20"/>
                <w:lang w:eastAsia="zh-TW"/>
              </w:rPr>
              <w:t>外幣財務報表折算差額</w:t>
            </w:r>
          </w:p>
        </w:tc>
        <w:tc>
          <w:tcPr>
            <w:tcW w:w="850" w:type="dxa"/>
            <w:shd w:val="clear" w:color="auto" w:fill="auto"/>
            <w:vAlign w:val="center"/>
          </w:tcPr>
          <w:p>
            <w:pPr>
              <w:rPr>
                <w:b/>
                <w:sz w:val="20"/>
                <w:lang w:eastAsia="zh-TW"/>
              </w:rPr>
            </w:pPr>
          </w:p>
        </w:tc>
        <w:tc>
          <w:tcPr>
            <w:tcW w:w="1843" w:type="dxa"/>
            <w:shd w:val="clear" w:color="000000" w:fill="FFFFFF"/>
            <w:vAlign w:val="center"/>
          </w:tcPr>
          <w:p>
            <w:pPr>
              <w:widowControl/>
              <w:jc w:val="right"/>
              <w:rPr>
                <w:kern w:val="0"/>
                <w:sz w:val="20"/>
              </w:rPr>
            </w:pPr>
            <w:r>
              <w:rPr>
                <w:kern w:val="0"/>
                <w:sz w:val="20"/>
              </w:rPr>
              <w:t xml:space="preserve">(1,122,296.42) </w:t>
            </w:r>
          </w:p>
        </w:tc>
        <w:tc>
          <w:tcPr>
            <w:tcW w:w="1911" w:type="dxa"/>
            <w:shd w:val="clear" w:color="000000" w:fill="FFFFFF"/>
            <w:vAlign w:val="center"/>
          </w:tcPr>
          <w:p>
            <w:pPr>
              <w:widowControl/>
              <w:jc w:val="right"/>
              <w:rPr>
                <w:kern w:val="0"/>
                <w:sz w:val="20"/>
              </w:rPr>
            </w:pPr>
            <w:r>
              <w:rPr>
                <w:kern w:val="0"/>
                <w:sz w:val="20"/>
              </w:rPr>
              <w:t xml:space="preserve">351,304.71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395" w:type="dxa"/>
            <w:shd w:val="clear" w:color="000000" w:fill="FFFFFF"/>
            <w:vAlign w:val="center"/>
          </w:tcPr>
          <w:p>
            <w:pPr>
              <w:widowControl/>
              <w:jc w:val="left"/>
              <w:rPr>
                <w:sz w:val="20"/>
              </w:rPr>
            </w:pPr>
            <w:r>
              <w:rPr>
                <w:kern w:val="0"/>
                <w:sz w:val="20"/>
              </w:rPr>
              <w:t xml:space="preserve">      6.</w:t>
            </w:r>
            <w:r>
              <w:rPr>
                <w:rFonts w:hint="eastAsia"/>
                <w:kern w:val="0"/>
                <w:sz w:val="20"/>
              </w:rPr>
              <w:t>其他</w:t>
            </w:r>
          </w:p>
        </w:tc>
        <w:tc>
          <w:tcPr>
            <w:tcW w:w="850" w:type="dxa"/>
            <w:shd w:val="clear" w:color="auto" w:fill="auto"/>
            <w:vAlign w:val="center"/>
          </w:tcPr>
          <w:p>
            <w:pPr>
              <w:rPr>
                <w:sz w:val="20"/>
              </w:rPr>
            </w:pPr>
          </w:p>
        </w:tc>
        <w:tc>
          <w:tcPr>
            <w:tcW w:w="1843" w:type="dxa"/>
            <w:shd w:val="clear" w:color="000000" w:fill="FFFFFF"/>
            <w:vAlign w:val="center"/>
          </w:tcPr>
          <w:p>
            <w:pPr>
              <w:widowControl/>
              <w:jc w:val="right"/>
              <w:rPr>
                <w:kern w:val="0"/>
                <w:sz w:val="20"/>
              </w:rPr>
            </w:pPr>
            <w:r>
              <w:rPr>
                <w:rFonts w:hint="eastAsia"/>
                <w:kern w:val="0"/>
                <w:sz w:val="20"/>
              </w:rPr>
              <w:t>　</w:t>
            </w:r>
            <w:r>
              <w:rPr>
                <w:kern w:val="0"/>
                <w:sz w:val="20"/>
              </w:rPr>
              <w:t>-</w:t>
            </w:r>
          </w:p>
        </w:tc>
        <w:tc>
          <w:tcPr>
            <w:tcW w:w="1911" w:type="dxa"/>
            <w:shd w:val="clear" w:color="000000" w:fill="FFFFFF"/>
            <w:vAlign w:val="center"/>
          </w:tcPr>
          <w:p>
            <w:pPr>
              <w:widowControl/>
              <w:jc w:val="right"/>
              <w:rPr>
                <w:kern w:val="0"/>
                <w:sz w:val="20"/>
              </w:rPr>
            </w:pPr>
            <w:r>
              <w:rPr>
                <w:rFonts w:hint="eastAsia"/>
                <w:kern w:val="0"/>
                <w:sz w:val="20"/>
              </w:rPr>
              <w:t>　</w:t>
            </w:r>
            <w:r>
              <w:rPr>
                <w:kern w:val="0"/>
                <w:sz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395" w:type="dxa"/>
            <w:shd w:val="clear" w:color="000000" w:fill="FFFFFF"/>
            <w:vAlign w:val="center"/>
          </w:tcPr>
          <w:p>
            <w:pPr>
              <w:widowControl/>
              <w:jc w:val="left"/>
              <w:rPr>
                <w:sz w:val="20"/>
                <w:lang w:eastAsia="zh-TW"/>
              </w:rPr>
            </w:pPr>
            <w:r>
              <w:rPr>
                <w:kern w:val="0"/>
                <w:sz w:val="20"/>
                <w:lang w:eastAsia="zh-TW"/>
              </w:rPr>
              <w:t xml:space="preserve">    </w:t>
            </w:r>
            <w:r>
              <w:rPr>
                <w:rFonts w:hint="eastAsia"/>
                <w:kern w:val="0"/>
                <w:sz w:val="20"/>
                <w:lang w:eastAsia="zh-TW"/>
              </w:rPr>
              <w:t>歸屬於少數股東的其他綜合收益的稅後淨額</w:t>
            </w:r>
          </w:p>
        </w:tc>
        <w:tc>
          <w:tcPr>
            <w:tcW w:w="850" w:type="dxa"/>
            <w:shd w:val="clear" w:color="auto" w:fill="auto"/>
            <w:vAlign w:val="center"/>
          </w:tcPr>
          <w:p>
            <w:pPr>
              <w:rPr>
                <w:sz w:val="20"/>
                <w:lang w:eastAsia="zh-TW"/>
              </w:rPr>
            </w:pPr>
          </w:p>
        </w:tc>
        <w:tc>
          <w:tcPr>
            <w:tcW w:w="1843" w:type="dxa"/>
            <w:shd w:val="clear" w:color="000000" w:fill="FFFFFF"/>
            <w:vAlign w:val="center"/>
          </w:tcPr>
          <w:p>
            <w:pPr>
              <w:widowControl/>
              <w:jc w:val="right"/>
              <w:rPr>
                <w:kern w:val="0"/>
                <w:sz w:val="20"/>
              </w:rPr>
            </w:pPr>
            <w:r>
              <w:rPr>
                <w:kern w:val="0"/>
                <w:sz w:val="20"/>
              </w:rPr>
              <w:t xml:space="preserve">(169,816.68) </w:t>
            </w:r>
          </w:p>
        </w:tc>
        <w:tc>
          <w:tcPr>
            <w:tcW w:w="1911" w:type="dxa"/>
            <w:shd w:val="clear" w:color="000000" w:fill="FFFFFF"/>
            <w:vAlign w:val="center"/>
          </w:tcPr>
          <w:p>
            <w:pPr>
              <w:widowControl/>
              <w:jc w:val="right"/>
              <w:rPr>
                <w:kern w:val="0"/>
                <w:sz w:val="20"/>
              </w:rPr>
            </w:pPr>
            <w:r>
              <w:rPr>
                <w:kern w:val="0"/>
                <w:sz w:val="20"/>
              </w:rPr>
              <w:t>(195,848.94 )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395" w:type="dxa"/>
            <w:shd w:val="clear" w:color="000000" w:fill="FFFFFF"/>
            <w:vAlign w:val="center"/>
          </w:tcPr>
          <w:p>
            <w:pPr>
              <w:widowControl/>
              <w:jc w:val="left"/>
              <w:rPr>
                <w:sz w:val="20"/>
              </w:rPr>
            </w:pPr>
            <w:r>
              <w:rPr>
                <w:rFonts w:hint="eastAsia"/>
                <w:b/>
                <w:kern w:val="0"/>
                <w:sz w:val="20"/>
              </w:rPr>
              <w:t>七、綜合收益總額</w:t>
            </w:r>
          </w:p>
        </w:tc>
        <w:tc>
          <w:tcPr>
            <w:tcW w:w="850" w:type="dxa"/>
            <w:shd w:val="clear" w:color="auto" w:fill="auto"/>
            <w:vAlign w:val="center"/>
          </w:tcPr>
          <w:p>
            <w:pPr>
              <w:rPr>
                <w:sz w:val="20"/>
              </w:rPr>
            </w:pPr>
          </w:p>
        </w:tc>
        <w:tc>
          <w:tcPr>
            <w:tcW w:w="1843" w:type="dxa"/>
            <w:shd w:val="clear" w:color="000000" w:fill="FFFFFF"/>
            <w:vAlign w:val="center"/>
          </w:tcPr>
          <w:p>
            <w:pPr>
              <w:widowControl/>
              <w:jc w:val="right"/>
              <w:rPr>
                <w:kern w:val="0"/>
                <w:sz w:val="20"/>
              </w:rPr>
            </w:pPr>
            <w:r>
              <w:rPr>
                <w:kern w:val="0"/>
                <w:sz w:val="20"/>
              </w:rPr>
              <w:t xml:space="preserve">281,043,119.59 </w:t>
            </w:r>
          </w:p>
        </w:tc>
        <w:tc>
          <w:tcPr>
            <w:tcW w:w="1911" w:type="dxa"/>
            <w:shd w:val="clear" w:color="000000" w:fill="FFFFFF"/>
            <w:vAlign w:val="center"/>
          </w:tcPr>
          <w:p>
            <w:pPr>
              <w:widowControl/>
              <w:jc w:val="right"/>
              <w:rPr>
                <w:kern w:val="0"/>
                <w:sz w:val="20"/>
              </w:rPr>
            </w:pPr>
            <w:r>
              <w:rPr>
                <w:kern w:val="0"/>
                <w:sz w:val="20"/>
              </w:rPr>
              <w:t xml:space="preserve">123,889,395.24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395" w:type="dxa"/>
            <w:shd w:val="clear" w:color="000000" w:fill="FFFFFF"/>
            <w:vAlign w:val="center"/>
          </w:tcPr>
          <w:p>
            <w:pPr>
              <w:widowControl/>
              <w:jc w:val="left"/>
              <w:rPr>
                <w:sz w:val="20"/>
                <w:lang w:eastAsia="zh-TW"/>
              </w:rPr>
            </w:pPr>
            <w:r>
              <w:rPr>
                <w:kern w:val="0"/>
                <w:sz w:val="20"/>
                <w:lang w:eastAsia="zh-TW"/>
              </w:rPr>
              <w:t xml:space="preserve">    </w:t>
            </w:r>
            <w:r>
              <w:rPr>
                <w:rFonts w:hint="eastAsia"/>
                <w:kern w:val="0"/>
                <w:sz w:val="20"/>
                <w:lang w:eastAsia="zh-TW"/>
              </w:rPr>
              <w:t>歸屬於</w:t>
            </w:r>
            <w:r>
              <w:rPr>
                <w:rFonts w:hint="eastAsia" w:cs="宋体"/>
                <w:kern w:val="0"/>
                <w:sz w:val="20"/>
                <w:lang w:eastAsia="zh-TW"/>
              </w:rPr>
              <w:t>本公司</w:t>
            </w:r>
            <w:r>
              <w:rPr>
                <w:rFonts w:hint="eastAsia"/>
                <w:kern w:val="0"/>
                <w:sz w:val="20"/>
                <w:lang w:eastAsia="zh-TW"/>
              </w:rPr>
              <w:t>股東的綜合收益總額</w:t>
            </w:r>
          </w:p>
        </w:tc>
        <w:tc>
          <w:tcPr>
            <w:tcW w:w="850" w:type="dxa"/>
            <w:shd w:val="clear" w:color="auto" w:fill="auto"/>
            <w:vAlign w:val="center"/>
          </w:tcPr>
          <w:p>
            <w:pPr>
              <w:rPr>
                <w:sz w:val="20"/>
                <w:lang w:eastAsia="zh-TW"/>
              </w:rPr>
            </w:pPr>
          </w:p>
        </w:tc>
        <w:tc>
          <w:tcPr>
            <w:tcW w:w="1843" w:type="dxa"/>
            <w:shd w:val="clear" w:color="000000" w:fill="FFFFFF"/>
            <w:vAlign w:val="center"/>
          </w:tcPr>
          <w:p>
            <w:pPr>
              <w:widowControl/>
              <w:jc w:val="right"/>
              <w:rPr>
                <w:kern w:val="0"/>
                <w:sz w:val="20"/>
              </w:rPr>
            </w:pPr>
            <w:r>
              <w:rPr>
                <w:kern w:val="0"/>
                <w:sz w:val="20"/>
              </w:rPr>
              <w:t xml:space="preserve">269,556,091.61 </w:t>
            </w:r>
          </w:p>
        </w:tc>
        <w:tc>
          <w:tcPr>
            <w:tcW w:w="1911" w:type="dxa"/>
            <w:shd w:val="clear" w:color="000000" w:fill="FFFFFF"/>
            <w:vAlign w:val="center"/>
          </w:tcPr>
          <w:p>
            <w:pPr>
              <w:widowControl/>
              <w:jc w:val="right"/>
              <w:rPr>
                <w:kern w:val="0"/>
                <w:sz w:val="20"/>
              </w:rPr>
            </w:pPr>
            <w:r>
              <w:rPr>
                <w:kern w:val="0"/>
                <w:sz w:val="20"/>
              </w:rPr>
              <w:t xml:space="preserve">113,309,519.99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395" w:type="dxa"/>
            <w:shd w:val="clear" w:color="000000" w:fill="FFFFFF"/>
            <w:vAlign w:val="center"/>
          </w:tcPr>
          <w:p>
            <w:pPr>
              <w:widowControl/>
              <w:jc w:val="left"/>
              <w:rPr>
                <w:sz w:val="20"/>
                <w:lang w:eastAsia="zh-TW"/>
              </w:rPr>
            </w:pPr>
            <w:r>
              <w:rPr>
                <w:kern w:val="0"/>
                <w:sz w:val="20"/>
                <w:lang w:eastAsia="zh-TW"/>
              </w:rPr>
              <w:t xml:space="preserve">    </w:t>
            </w:r>
            <w:r>
              <w:rPr>
                <w:rFonts w:hint="eastAsia"/>
                <w:kern w:val="0"/>
                <w:sz w:val="20"/>
                <w:lang w:eastAsia="zh-TW"/>
              </w:rPr>
              <w:t>歸屬於少數股東的綜合收益總額</w:t>
            </w:r>
          </w:p>
        </w:tc>
        <w:tc>
          <w:tcPr>
            <w:tcW w:w="850" w:type="dxa"/>
            <w:shd w:val="clear" w:color="auto" w:fill="auto"/>
            <w:vAlign w:val="center"/>
          </w:tcPr>
          <w:p>
            <w:pPr>
              <w:rPr>
                <w:sz w:val="20"/>
                <w:lang w:eastAsia="zh-TW"/>
              </w:rPr>
            </w:pPr>
          </w:p>
        </w:tc>
        <w:tc>
          <w:tcPr>
            <w:tcW w:w="1843" w:type="dxa"/>
            <w:shd w:val="clear" w:color="000000" w:fill="FFFFFF"/>
            <w:vAlign w:val="center"/>
          </w:tcPr>
          <w:p>
            <w:pPr>
              <w:widowControl/>
              <w:jc w:val="right"/>
              <w:rPr>
                <w:kern w:val="0"/>
                <w:sz w:val="20"/>
              </w:rPr>
            </w:pPr>
            <w:r>
              <w:rPr>
                <w:kern w:val="0"/>
                <w:sz w:val="20"/>
              </w:rPr>
              <w:t xml:space="preserve">11,487,027.98 </w:t>
            </w:r>
          </w:p>
        </w:tc>
        <w:tc>
          <w:tcPr>
            <w:tcW w:w="1911" w:type="dxa"/>
            <w:shd w:val="clear" w:color="000000" w:fill="FFFFFF"/>
            <w:vAlign w:val="center"/>
          </w:tcPr>
          <w:p>
            <w:pPr>
              <w:widowControl/>
              <w:jc w:val="right"/>
              <w:rPr>
                <w:kern w:val="0"/>
                <w:sz w:val="20"/>
              </w:rPr>
            </w:pPr>
            <w:r>
              <w:rPr>
                <w:kern w:val="0"/>
                <w:sz w:val="20"/>
              </w:rPr>
              <w:t xml:space="preserve">10,579,875.25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395" w:type="dxa"/>
            <w:shd w:val="clear" w:color="000000" w:fill="FFFFFF"/>
            <w:vAlign w:val="center"/>
          </w:tcPr>
          <w:p>
            <w:pPr>
              <w:widowControl/>
              <w:jc w:val="left"/>
              <w:rPr>
                <w:sz w:val="20"/>
              </w:rPr>
            </w:pPr>
            <w:r>
              <w:rPr>
                <w:rFonts w:hint="eastAsia"/>
                <w:b/>
                <w:kern w:val="0"/>
                <w:sz w:val="20"/>
              </w:rPr>
              <w:t>八、每股收益：</w:t>
            </w:r>
          </w:p>
        </w:tc>
        <w:tc>
          <w:tcPr>
            <w:tcW w:w="850" w:type="dxa"/>
            <w:shd w:val="clear" w:color="auto" w:fill="auto"/>
            <w:vAlign w:val="center"/>
          </w:tcPr>
          <w:p>
            <w:pPr>
              <w:rPr>
                <w:sz w:val="20"/>
              </w:rPr>
            </w:pPr>
          </w:p>
        </w:tc>
        <w:tc>
          <w:tcPr>
            <w:tcW w:w="1843" w:type="dxa"/>
            <w:shd w:val="clear" w:color="000000" w:fill="FFFFFF"/>
            <w:vAlign w:val="center"/>
          </w:tcPr>
          <w:p>
            <w:pPr>
              <w:widowControl/>
              <w:jc w:val="right"/>
              <w:rPr>
                <w:kern w:val="0"/>
                <w:sz w:val="20"/>
              </w:rPr>
            </w:pPr>
            <w:r>
              <w:rPr>
                <w:rFonts w:hint="eastAsia"/>
                <w:kern w:val="0"/>
                <w:sz w:val="20"/>
              </w:rPr>
              <w:t>　</w:t>
            </w:r>
          </w:p>
        </w:tc>
        <w:tc>
          <w:tcPr>
            <w:tcW w:w="1911" w:type="dxa"/>
            <w:shd w:val="clear" w:color="000000" w:fill="FFFFFF"/>
            <w:vAlign w:val="center"/>
          </w:tcPr>
          <w:p>
            <w:pPr>
              <w:widowControl/>
              <w:jc w:val="right"/>
              <w:rPr>
                <w:kern w:val="0"/>
                <w:sz w:val="20"/>
              </w:rPr>
            </w:pPr>
            <w:r>
              <w:rPr>
                <w:rFonts w:hint="eastAsia"/>
                <w:kern w:val="0"/>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395" w:type="dxa"/>
            <w:shd w:val="clear" w:color="000000" w:fill="FFFFFF"/>
            <w:vAlign w:val="center"/>
          </w:tcPr>
          <w:p>
            <w:pPr>
              <w:widowControl/>
              <w:jc w:val="left"/>
              <w:rPr>
                <w:b/>
                <w:sz w:val="20"/>
              </w:rPr>
            </w:pPr>
            <w:r>
              <w:rPr>
                <w:kern w:val="0"/>
                <w:sz w:val="20"/>
              </w:rPr>
              <w:t xml:space="preserve">    </w:t>
            </w:r>
            <w:r>
              <w:rPr>
                <w:rFonts w:hint="eastAsia"/>
                <w:kern w:val="0"/>
                <w:sz w:val="20"/>
              </w:rPr>
              <w:t>（一）基本每股收益</w:t>
            </w:r>
          </w:p>
        </w:tc>
        <w:tc>
          <w:tcPr>
            <w:tcW w:w="850" w:type="dxa"/>
            <w:shd w:val="clear" w:color="auto" w:fill="auto"/>
            <w:vAlign w:val="center"/>
          </w:tcPr>
          <w:p>
            <w:pPr>
              <w:jc w:val="center"/>
              <w:rPr>
                <w:sz w:val="20"/>
              </w:rPr>
            </w:pPr>
            <w:r>
              <w:rPr>
                <w:sz w:val="20"/>
              </w:rPr>
              <w:t>1</w:t>
            </w:r>
            <w:r>
              <w:rPr>
                <w:rFonts w:hint="eastAsia"/>
                <w:sz w:val="20"/>
              </w:rPr>
              <w:t>4</w:t>
            </w:r>
          </w:p>
        </w:tc>
        <w:tc>
          <w:tcPr>
            <w:tcW w:w="1843" w:type="dxa"/>
            <w:shd w:val="clear" w:color="000000" w:fill="FFFFFF"/>
            <w:vAlign w:val="bottom"/>
          </w:tcPr>
          <w:p>
            <w:pPr>
              <w:widowControl/>
              <w:jc w:val="right"/>
              <w:rPr>
                <w:kern w:val="0"/>
                <w:sz w:val="20"/>
              </w:rPr>
            </w:pPr>
            <w:r>
              <w:rPr>
                <w:kern w:val="0"/>
                <w:sz w:val="20"/>
              </w:rPr>
              <w:t xml:space="preserve">0.45 </w:t>
            </w:r>
          </w:p>
        </w:tc>
        <w:tc>
          <w:tcPr>
            <w:tcW w:w="1911" w:type="dxa"/>
            <w:shd w:val="clear" w:color="000000" w:fill="FFFFFF"/>
            <w:vAlign w:val="center"/>
          </w:tcPr>
          <w:p>
            <w:pPr>
              <w:widowControl/>
              <w:jc w:val="right"/>
              <w:rPr>
                <w:kern w:val="0"/>
                <w:sz w:val="20"/>
              </w:rPr>
            </w:pPr>
            <w:r>
              <w:rPr>
                <w:kern w:val="0"/>
                <w:sz w:val="20"/>
              </w:rPr>
              <w:t xml:space="preserve">0.27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4395" w:type="dxa"/>
            <w:shd w:val="clear" w:color="000000" w:fill="FFFFFF"/>
            <w:vAlign w:val="center"/>
          </w:tcPr>
          <w:p>
            <w:pPr>
              <w:widowControl/>
              <w:jc w:val="left"/>
              <w:rPr>
                <w:sz w:val="20"/>
              </w:rPr>
            </w:pPr>
            <w:r>
              <w:rPr>
                <w:kern w:val="0"/>
                <w:sz w:val="20"/>
              </w:rPr>
              <w:t xml:space="preserve">    </w:t>
            </w:r>
            <w:r>
              <w:rPr>
                <w:rFonts w:hint="eastAsia"/>
                <w:kern w:val="0"/>
                <w:sz w:val="20"/>
              </w:rPr>
              <w:t>（二）稀釋每股收益</w:t>
            </w:r>
          </w:p>
        </w:tc>
        <w:tc>
          <w:tcPr>
            <w:tcW w:w="850" w:type="dxa"/>
            <w:shd w:val="clear" w:color="auto" w:fill="auto"/>
            <w:vAlign w:val="center"/>
          </w:tcPr>
          <w:p>
            <w:pPr>
              <w:jc w:val="center"/>
              <w:rPr>
                <w:sz w:val="20"/>
              </w:rPr>
            </w:pPr>
          </w:p>
        </w:tc>
        <w:tc>
          <w:tcPr>
            <w:tcW w:w="1843" w:type="dxa"/>
            <w:shd w:val="clear" w:color="000000" w:fill="FFFFFF"/>
            <w:vAlign w:val="bottom"/>
          </w:tcPr>
          <w:p>
            <w:pPr>
              <w:widowControl/>
              <w:jc w:val="right"/>
              <w:rPr>
                <w:kern w:val="0"/>
                <w:sz w:val="20"/>
              </w:rPr>
            </w:pPr>
            <w:r>
              <w:rPr>
                <w:kern w:val="0"/>
                <w:sz w:val="20"/>
              </w:rPr>
              <w:t xml:space="preserve">0.45 </w:t>
            </w:r>
          </w:p>
        </w:tc>
        <w:tc>
          <w:tcPr>
            <w:tcW w:w="1911" w:type="dxa"/>
            <w:shd w:val="clear" w:color="000000" w:fill="FFFFFF"/>
            <w:vAlign w:val="center"/>
          </w:tcPr>
          <w:p>
            <w:pPr>
              <w:widowControl/>
              <w:jc w:val="right"/>
              <w:rPr>
                <w:kern w:val="0"/>
                <w:sz w:val="20"/>
              </w:rPr>
            </w:pPr>
            <w:r>
              <w:rPr>
                <w:kern w:val="0"/>
                <w:sz w:val="20"/>
              </w:rPr>
              <w:t xml:space="preserve">0.27 </w:t>
            </w:r>
          </w:p>
        </w:tc>
      </w:tr>
    </w:tbl>
    <w:p>
      <w:pPr>
        <w:spacing w:line="360" w:lineRule="exact"/>
        <w:rPr>
          <w:b/>
          <w:bCs/>
          <w:spacing w:val="20"/>
          <w:sz w:val="24"/>
          <w:lang w:eastAsia="zh-TW"/>
        </w:rPr>
      </w:pPr>
    </w:p>
    <w:p>
      <w:pPr>
        <w:pStyle w:val="24"/>
        <w:rPr>
          <w:rFonts w:ascii="Times New Roman" w:hAnsi="Times New Roman"/>
          <w:b/>
          <w:sz w:val="22"/>
          <w:u w:val="single"/>
          <w:lang w:eastAsia="zh-TW"/>
        </w:rPr>
      </w:pPr>
      <w:r>
        <w:rPr>
          <w:rFonts w:hint="eastAsia" w:ascii="Times New Roman" w:hAnsi="Times New Roman"/>
          <w:b/>
          <w:sz w:val="22"/>
          <w:u w:val="single"/>
          <w:lang w:eastAsia="zh-TW"/>
        </w:rPr>
        <w:t>按《中國企業會計準則》編制財務報表附注摘要：</w:t>
      </w:r>
    </w:p>
    <w:p>
      <w:pPr>
        <w:pStyle w:val="24"/>
        <w:rPr>
          <w:rFonts w:ascii="Times New Roman" w:hAnsi="Times New Roman"/>
          <w:b/>
          <w:sz w:val="22"/>
          <w:lang w:eastAsia="zh-TW"/>
        </w:rPr>
      </w:pPr>
    </w:p>
    <w:p>
      <w:pPr>
        <w:pStyle w:val="24"/>
        <w:tabs>
          <w:tab w:val="left" w:pos="1426"/>
        </w:tabs>
        <w:rPr>
          <w:rFonts w:ascii="Times New Roman" w:hAnsi="Times New Roman"/>
          <w:b/>
          <w:sz w:val="22"/>
        </w:rPr>
      </w:pPr>
      <w:r>
        <w:rPr>
          <w:rFonts w:hint="eastAsia" w:ascii="Times New Roman" w:hAnsi="Times New Roman"/>
          <w:b/>
          <w:sz w:val="22"/>
        </w:rPr>
        <w:t>附注：</w:t>
      </w:r>
      <w:r>
        <w:rPr>
          <w:rFonts w:ascii="Times New Roman" w:hAnsi="Times New Roman"/>
          <w:b/>
          <w:sz w:val="22"/>
          <w:lang w:eastAsia="zh-TW"/>
        </w:rPr>
        <w:tab/>
      </w:r>
    </w:p>
    <w:p>
      <w:pPr>
        <w:pStyle w:val="24"/>
        <w:rPr>
          <w:rFonts w:ascii="Times New Roman" w:hAnsi="Times New Roman"/>
          <w:b/>
          <w:sz w:val="22"/>
        </w:rPr>
      </w:pPr>
    </w:p>
    <w:p>
      <w:pPr>
        <w:pStyle w:val="24"/>
        <w:numPr>
          <w:numId w:val="0"/>
        </w:numPr>
        <w:ind w:leftChars="0"/>
        <w:rPr>
          <w:rFonts w:ascii="Times New Roman" w:hAnsi="Times New Roman"/>
          <w:sz w:val="22"/>
        </w:rPr>
      </w:pPr>
      <w:r>
        <w:rPr>
          <w:rFonts w:ascii="Times New Roman" w:hAnsi="Times New Roman"/>
          <w:b/>
          <w:bCs/>
          <w:sz w:val="22"/>
          <w:lang w:eastAsia="zh-TW"/>
        </w:rPr>
        <w:t xml:space="preserve">1. </w:t>
      </w:r>
      <w:r>
        <w:rPr>
          <w:rFonts w:hint="eastAsia" w:ascii="Times New Roman" w:hAnsi="Times New Roman"/>
          <w:b/>
          <w:sz w:val="22"/>
        </w:rPr>
        <w:t>財務報表的編制基礎</w:t>
      </w:r>
    </w:p>
    <w:p>
      <w:pPr>
        <w:rPr>
          <w:b/>
          <w:sz w:val="22"/>
        </w:rPr>
      </w:pPr>
    </w:p>
    <w:p>
      <w:pPr>
        <w:rPr>
          <w:b/>
          <w:sz w:val="22"/>
          <w:u w:val="single"/>
        </w:rPr>
      </w:pPr>
      <w:r>
        <w:rPr>
          <w:rFonts w:hint="eastAsia"/>
          <w:b/>
          <w:sz w:val="22"/>
          <w:u w:val="single"/>
        </w:rPr>
        <w:t>編制基礎</w:t>
      </w:r>
    </w:p>
    <w:p>
      <w:pPr>
        <w:rPr>
          <w:sz w:val="22"/>
        </w:rPr>
      </w:pPr>
    </w:p>
    <w:p>
      <w:pPr>
        <w:rPr>
          <w:sz w:val="22"/>
          <w:lang w:eastAsia="zh-TW"/>
        </w:rPr>
      </w:pPr>
      <w:r>
        <w:rPr>
          <w:rFonts w:hint="eastAsia"/>
          <w:sz w:val="22"/>
          <w:lang w:eastAsia="zh-TW"/>
        </w:rPr>
        <w:t>本集團財務報表以持續經營為基礎，根據實際發生的交易和事項，按照中國財政部頒佈的《企業會計準則》及其他規定，以及香港《公司條例》和香港聯合交易所《上市規則》所要求之相關披露。</w:t>
      </w:r>
    </w:p>
    <w:p>
      <w:pPr>
        <w:rPr>
          <w:sz w:val="22"/>
          <w:lang w:eastAsia="zh-TW"/>
        </w:rPr>
      </w:pPr>
    </w:p>
    <w:p>
      <w:pPr>
        <w:rPr>
          <w:b/>
          <w:sz w:val="22"/>
          <w:u w:val="single"/>
          <w:lang w:eastAsia="zh-TW"/>
        </w:rPr>
      </w:pPr>
      <w:r>
        <w:rPr>
          <w:rFonts w:hint="eastAsia"/>
          <w:b/>
          <w:sz w:val="22"/>
          <w:u w:val="single"/>
          <w:lang w:eastAsia="zh-TW"/>
        </w:rPr>
        <w:t>持續經營</w:t>
      </w:r>
    </w:p>
    <w:p>
      <w:pPr>
        <w:rPr>
          <w:sz w:val="22"/>
          <w:lang w:eastAsia="zh-TW"/>
        </w:rPr>
      </w:pPr>
    </w:p>
    <w:p>
      <w:pPr>
        <w:rPr>
          <w:sz w:val="22"/>
          <w:lang w:eastAsia="zh-TW"/>
        </w:rPr>
      </w:pPr>
      <w:r>
        <w:rPr>
          <w:rFonts w:hint="eastAsia"/>
          <w:sz w:val="22"/>
          <w:lang w:eastAsia="zh-TW"/>
        </w:rPr>
        <w:t>本集團對自本報告期末起</w:t>
      </w:r>
      <w:r>
        <w:rPr>
          <w:sz w:val="22"/>
          <w:lang w:eastAsia="zh-TW"/>
        </w:rPr>
        <w:t>12</w:t>
      </w:r>
      <w:r>
        <w:rPr>
          <w:rFonts w:hint="eastAsia"/>
          <w:sz w:val="22"/>
          <w:lang w:eastAsia="zh-TW"/>
        </w:rPr>
        <w:t>個月的持續經營能力進行了評價，未發現對持續經營能力產生重大懷疑的事項和情況。因此，本財務報表系在持續經營假設的基礎上編制。</w:t>
      </w:r>
    </w:p>
    <w:p>
      <w:pPr>
        <w:pStyle w:val="24"/>
        <w:rPr>
          <w:rFonts w:ascii="Times New Roman" w:hAnsi="Times New Roman"/>
          <w:lang w:eastAsia="zh-TW"/>
        </w:rPr>
      </w:pPr>
    </w:p>
    <w:p>
      <w:pPr>
        <w:pStyle w:val="24"/>
        <w:numPr>
          <w:ilvl w:val="0"/>
          <w:numId w:val="4"/>
        </w:numPr>
        <w:rPr>
          <w:rFonts w:ascii="Times New Roman" w:hAnsi="Times New Roman"/>
          <w:b/>
          <w:sz w:val="22"/>
        </w:rPr>
      </w:pPr>
      <w:r>
        <w:rPr>
          <w:rFonts w:hint="eastAsia" w:ascii="Times New Roman" w:hAnsi="Times New Roman"/>
          <w:b/>
          <w:sz w:val="22"/>
        </w:rPr>
        <w:t>分部資料</w:t>
      </w:r>
    </w:p>
    <w:p>
      <w:pPr>
        <w:pStyle w:val="24"/>
        <w:rPr>
          <w:rFonts w:ascii="Times New Roman" w:hAnsi="Times New Roman"/>
          <w:b/>
          <w:bCs/>
          <w:sz w:val="22"/>
        </w:rPr>
      </w:pPr>
    </w:p>
    <w:p>
      <w:pPr>
        <w:autoSpaceDE w:val="0"/>
        <w:autoSpaceDN w:val="0"/>
        <w:adjustRightInd w:val="0"/>
        <w:ind w:left="450" w:firstLine="220"/>
        <w:rPr>
          <w:b/>
          <w:sz w:val="22"/>
        </w:rPr>
      </w:pPr>
      <w:r>
        <w:rPr>
          <w:rFonts w:hint="eastAsia"/>
          <w:b/>
          <w:sz w:val="22"/>
        </w:rPr>
        <w:t>（</w:t>
      </w:r>
      <w:r>
        <w:rPr>
          <w:b/>
          <w:sz w:val="22"/>
        </w:rPr>
        <w:t>a</w:t>
      </w:r>
      <w:r>
        <w:rPr>
          <w:rFonts w:hint="eastAsia"/>
          <w:b/>
          <w:sz w:val="22"/>
        </w:rPr>
        <w:t>）分部概況</w:t>
      </w:r>
    </w:p>
    <w:p>
      <w:pPr>
        <w:rPr>
          <w:sz w:val="22"/>
          <w:lang w:eastAsia="zh-TW"/>
        </w:rPr>
      </w:pPr>
    </w:p>
    <w:p>
      <w:pPr>
        <w:rPr>
          <w:sz w:val="22"/>
          <w:lang w:eastAsia="zh-TW"/>
        </w:rPr>
      </w:pPr>
      <w:r>
        <w:rPr>
          <w:rFonts w:hint="eastAsia"/>
          <w:sz w:val="22"/>
          <w:lang w:eastAsia="zh-TW"/>
        </w:rPr>
        <w:t>本集團以內部組織結構、管理要求、內部報告制度為依據確定經營分部，以經營分部為基礎確定報告分部並披露分部資訊。經營分部是指本集團內同時滿足下列條件的組成部分：</w:t>
      </w:r>
      <w:r>
        <w:rPr>
          <w:sz w:val="22"/>
          <w:lang w:eastAsia="zh-TW"/>
        </w:rPr>
        <w:t>(1)</w:t>
      </w:r>
      <w:r>
        <w:rPr>
          <w:rFonts w:hint="eastAsia"/>
          <w:sz w:val="22"/>
          <w:lang w:eastAsia="zh-TW"/>
        </w:rPr>
        <w:t>該組成部分能夠在日常活動中產生收入、發生費用；</w:t>
      </w:r>
      <w:r>
        <w:rPr>
          <w:sz w:val="22"/>
          <w:lang w:eastAsia="zh-TW"/>
        </w:rPr>
        <w:t>(2)</w:t>
      </w:r>
      <w:r>
        <w:rPr>
          <w:rFonts w:hint="eastAsia"/>
          <w:sz w:val="22"/>
          <w:lang w:eastAsia="zh-TW"/>
        </w:rPr>
        <w:t>本集團管理層能夠定期評價該組成部分的經營成果，以決定向其配置資源、評價其業績；</w:t>
      </w:r>
      <w:r>
        <w:rPr>
          <w:sz w:val="22"/>
          <w:lang w:eastAsia="zh-TW"/>
        </w:rPr>
        <w:t>(3)</w:t>
      </w:r>
      <w:r>
        <w:rPr>
          <w:rFonts w:hint="eastAsia"/>
          <w:sz w:val="22"/>
          <w:lang w:eastAsia="zh-TW"/>
        </w:rPr>
        <w:t>本公司能夠取得該組成部分的財務狀況、經營成果和現金流量等有關會計</w:t>
      </w:r>
      <w:r>
        <w:rPr>
          <w:rFonts w:hint="eastAsia"/>
          <w:sz w:val="22"/>
          <w:szCs w:val="22"/>
          <w:lang w:eastAsia="zh-TW"/>
        </w:rPr>
        <w:t>信息</w:t>
      </w:r>
      <w:r>
        <w:rPr>
          <w:rFonts w:hint="eastAsia"/>
          <w:sz w:val="22"/>
          <w:lang w:eastAsia="zh-TW"/>
        </w:rPr>
        <w:t>。如果兩個或多個經營分部具有相似的經濟特徵，並且滿足一定條件的，則可合併為一個經營分部。</w:t>
      </w:r>
    </w:p>
    <w:p>
      <w:pPr>
        <w:rPr>
          <w:sz w:val="22"/>
          <w:lang w:eastAsia="zh-TW"/>
        </w:rPr>
      </w:pPr>
    </w:p>
    <w:p>
      <w:pPr>
        <w:rPr>
          <w:sz w:val="22"/>
          <w:lang w:eastAsia="zh-TW"/>
        </w:rPr>
      </w:pPr>
      <w:r>
        <w:rPr>
          <w:rFonts w:hint="eastAsia"/>
          <w:sz w:val="22"/>
          <w:lang w:eastAsia="zh-TW"/>
        </w:rPr>
        <w:t>本集團之可呈報分部如下：</w:t>
      </w:r>
    </w:p>
    <w:p>
      <w:pPr>
        <w:ind w:left="425" w:leftChars="150" w:hanging="110" w:hangingChars="50"/>
        <w:rPr>
          <w:sz w:val="22"/>
          <w:lang w:eastAsia="zh-TW"/>
        </w:rPr>
      </w:pPr>
    </w:p>
    <w:tbl>
      <w:tblPr>
        <w:tblW w:w="8464" w:type="dxa"/>
        <w:tblInd w:w="3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036"/>
        <w:gridCol w:w="44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036" w:type="dxa"/>
            <w:vAlign w:val="top"/>
          </w:tcPr>
          <w:p>
            <w:pPr>
              <w:autoSpaceDE w:val="0"/>
              <w:autoSpaceDN w:val="0"/>
              <w:adjustRightInd w:val="0"/>
              <w:ind w:firstLine="110" w:firstLineChars="50"/>
              <w:rPr>
                <w:sz w:val="22"/>
              </w:rPr>
            </w:pPr>
            <w:r>
              <w:rPr>
                <w:rFonts w:hint="eastAsia"/>
                <w:sz w:val="22"/>
              </w:rPr>
              <w:t>化學原料藥：</w:t>
            </w:r>
          </w:p>
        </w:tc>
        <w:tc>
          <w:tcPr>
            <w:tcW w:w="4428" w:type="dxa"/>
            <w:vAlign w:val="top"/>
          </w:tcPr>
          <w:p>
            <w:pPr>
              <w:autoSpaceDE w:val="0"/>
              <w:autoSpaceDN w:val="0"/>
              <w:adjustRightInd w:val="0"/>
              <w:rPr>
                <w:sz w:val="22"/>
                <w:lang w:eastAsia="zh-TW"/>
              </w:rPr>
            </w:pPr>
            <w:r>
              <w:rPr>
                <w:rFonts w:hint="eastAsia"/>
                <w:sz w:val="22"/>
                <w:lang w:eastAsia="zh-TW"/>
              </w:rPr>
              <w:t>開發、製造及銷售化學原料藥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036" w:type="dxa"/>
            <w:vAlign w:val="top"/>
          </w:tcPr>
          <w:p>
            <w:pPr>
              <w:autoSpaceDE w:val="0"/>
              <w:autoSpaceDN w:val="0"/>
              <w:adjustRightInd w:val="0"/>
              <w:ind w:firstLine="110" w:firstLineChars="50"/>
              <w:rPr>
                <w:sz w:val="22"/>
              </w:rPr>
            </w:pPr>
            <w:r>
              <w:rPr>
                <w:rFonts w:hint="eastAsia"/>
                <w:sz w:val="22"/>
              </w:rPr>
              <w:t>製劑：</w:t>
            </w:r>
          </w:p>
        </w:tc>
        <w:tc>
          <w:tcPr>
            <w:tcW w:w="4428" w:type="dxa"/>
            <w:vAlign w:val="top"/>
          </w:tcPr>
          <w:p>
            <w:pPr>
              <w:autoSpaceDE w:val="0"/>
              <w:autoSpaceDN w:val="0"/>
              <w:adjustRightInd w:val="0"/>
              <w:rPr>
                <w:sz w:val="22"/>
                <w:lang w:eastAsia="zh-TW"/>
              </w:rPr>
            </w:pPr>
            <w:r>
              <w:rPr>
                <w:rFonts w:hint="eastAsia"/>
                <w:sz w:val="22"/>
                <w:lang w:eastAsia="zh-TW"/>
              </w:rPr>
              <w:t>開發、製造及銷售製劑（例如藥片及注射液）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036" w:type="dxa"/>
            <w:vAlign w:val="top"/>
          </w:tcPr>
          <w:p>
            <w:pPr>
              <w:autoSpaceDE w:val="0"/>
              <w:autoSpaceDN w:val="0"/>
              <w:adjustRightInd w:val="0"/>
              <w:ind w:firstLine="110" w:firstLineChars="50"/>
              <w:rPr>
                <w:sz w:val="22"/>
                <w:lang w:eastAsia="zh-TW"/>
              </w:rPr>
            </w:pPr>
            <w:r>
              <w:rPr>
                <w:rFonts w:hint="eastAsia"/>
                <w:sz w:val="22"/>
                <w:lang w:eastAsia="zh-TW"/>
              </w:rPr>
              <w:t>醫藥中間體及其它產品：</w:t>
            </w:r>
          </w:p>
        </w:tc>
        <w:tc>
          <w:tcPr>
            <w:tcW w:w="4428" w:type="dxa"/>
            <w:vAlign w:val="top"/>
          </w:tcPr>
          <w:p>
            <w:pPr>
              <w:autoSpaceDE w:val="0"/>
              <w:autoSpaceDN w:val="0"/>
              <w:adjustRightInd w:val="0"/>
              <w:rPr>
                <w:sz w:val="22"/>
                <w:lang w:eastAsia="zh-TW"/>
              </w:rPr>
            </w:pPr>
            <w:r>
              <w:rPr>
                <w:rFonts w:hint="eastAsia"/>
                <w:sz w:val="22"/>
                <w:lang w:eastAsia="zh-TW"/>
              </w:rPr>
              <w:t>製造及銷售醫藥中間體及其他產品</w:t>
            </w:r>
          </w:p>
        </w:tc>
      </w:tr>
    </w:tbl>
    <w:p>
      <w:pPr>
        <w:ind w:firstLine="330" w:firstLineChars="150"/>
        <w:rPr>
          <w:sz w:val="22"/>
          <w:lang w:eastAsia="zh-TW"/>
        </w:rPr>
      </w:pPr>
    </w:p>
    <w:p>
      <w:pPr>
        <w:ind w:firstLine="330" w:firstLineChars="150"/>
        <w:rPr>
          <w:sz w:val="22"/>
          <w:lang w:eastAsia="zh-TW"/>
        </w:rPr>
      </w:pPr>
    </w:p>
    <w:p>
      <w:pPr>
        <w:ind w:firstLine="330" w:firstLineChars="150"/>
        <w:rPr>
          <w:sz w:val="22"/>
          <w:lang w:eastAsia="zh-TW"/>
        </w:rPr>
      </w:pPr>
      <w:r>
        <w:rPr>
          <w:rFonts w:hint="eastAsia"/>
          <w:sz w:val="22"/>
          <w:lang w:eastAsia="zh-TW"/>
        </w:rPr>
        <w:t>有關上述分部之資料呈報如下。</w:t>
      </w:r>
    </w:p>
    <w:p>
      <w:pPr>
        <w:autoSpaceDE w:val="0"/>
        <w:autoSpaceDN w:val="0"/>
        <w:adjustRightInd w:val="0"/>
        <w:ind w:firstLine="221" w:firstLineChars="100"/>
        <w:rPr>
          <w:b/>
          <w:sz w:val="22"/>
          <w:lang w:eastAsia="zh-TW"/>
        </w:rPr>
      </w:pPr>
    </w:p>
    <w:p>
      <w:pPr>
        <w:autoSpaceDE w:val="0"/>
        <w:autoSpaceDN w:val="0"/>
        <w:adjustRightInd w:val="0"/>
        <w:ind w:left="450" w:firstLine="220"/>
        <w:rPr>
          <w:sz w:val="22"/>
          <w:lang w:eastAsia="zh-TW"/>
        </w:rPr>
      </w:pPr>
      <w:r>
        <w:rPr>
          <w:rFonts w:hint="eastAsia"/>
          <w:b/>
          <w:sz w:val="22"/>
          <w:lang w:eastAsia="zh-TW"/>
        </w:rPr>
        <w:t>（</w:t>
      </w:r>
      <w:r>
        <w:rPr>
          <w:b/>
          <w:sz w:val="22"/>
          <w:lang w:eastAsia="zh-TW"/>
        </w:rPr>
        <w:t>b</w:t>
      </w:r>
      <w:r>
        <w:rPr>
          <w:rFonts w:hint="eastAsia"/>
          <w:b/>
          <w:sz w:val="22"/>
          <w:lang w:eastAsia="zh-TW"/>
        </w:rPr>
        <w:t>）截至二零一七年十二月三十一日止年度及截至二零一六年十二月三十一日止年度分部資訊列示如下（經審計）</w:t>
      </w:r>
      <w:r>
        <w:rPr>
          <w:rFonts w:hint="eastAsia"/>
          <w:sz w:val="22"/>
          <w:lang w:eastAsia="zh-TW"/>
        </w:rPr>
        <w:t>：</w:t>
      </w:r>
    </w:p>
    <w:p>
      <w:pPr>
        <w:autoSpaceDE w:val="0"/>
        <w:autoSpaceDN w:val="0"/>
        <w:adjustRightInd w:val="0"/>
        <w:rPr>
          <w:sz w:val="22"/>
          <w:lang w:eastAsia="zh-TW"/>
        </w:rPr>
      </w:pPr>
    </w:p>
    <w:p>
      <w:pPr>
        <w:autoSpaceDE w:val="0"/>
        <w:autoSpaceDN w:val="0"/>
        <w:adjustRightInd w:val="0"/>
        <w:ind w:firstLine="330" w:firstLineChars="150"/>
        <w:jc w:val="center"/>
        <w:rPr>
          <w:sz w:val="22"/>
          <w:u w:val="single"/>
          <w:lang w:eastAsia="zh-TW"/>
        </w:rPr>
      </w:pPr>
      <w:r>
        <w:rPr>
          <w:rFonts w:hint="eastAsia"/>
          <w:sz w:val="22"/>
          <w:u w:val="single"/>
          <w:lang w:eastAsia="zh-TW"/>
        </w:rPr>
        <w:t>截至二零一七年十二月三十一日止年度</w:t>
      </w:r>
      <w:r>
        <w:rPr>
          <w:sz w:val="22"/>
          <w:u w:val="single"/>
          <w:lang w:eastAsia="zh-TW"/>
        </w:rPr>
        <w:t>(</w:t>
      </w:r>
      <w:r>
        <w:rPr>
          <w:rFonts w:hint="eastAsia"/>
          <w:sz w:val="22"/>
          <w:u w:val="single"/>
          <w:lang w:eastAsia="zh-TW"/>
        </w:rPr>
        <w:t>經審計</w:t>
      </w:r>
      <w:r>
        <w:rPr>
          <w:sz w:val="22"/>
          <w:u w:val="single"/>
          <w:lang w:eastAsia="zh-TW"/>
        </w:rPr>
        <w:t>)</w:t>
      </w:r>
    </w:p>
    <w:p>
      <w:pPr>
        <w:autoSpaceDE w:val="0"/>
        <w:autoSpaceDN w:val="0"/>
        <w:adjustRightInd w:val="0"/>
        <w:ind w:firstLine="6930" w:firstLineChars="3150"/>
        <w:jc w:val="right"/>
        <w:rPr>
          <w:sz w:val="22"/>
        </w:rPr>
      </w:pPr>
      <w:r>
        <w:rPr>
          <w:rFonts w:hint="eastAsia"/>
          <w:sz w:val="22"/>
        </w:rPr>
        <w:t>單位：人民幣元</w:t>
      </w:r>
    </w:p>
    <w:tbl>
      <w:tblPr>
        <w:tblW w:w="10598" w:type="dxa"/>
        <w:tblInd w:w="-4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563"/>
        <w:gridCol w:w="1469"/>
        <w:gridCol w:w="1469"/>
        <w:gridCol w:w="1469"/>
        <w:gridCol w:w="1478"/>
        <w:gridCol w:w="1691"/>
        <w:gridCol w:w="14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40" w:hRule="atLeast"/>
        </w:trPr>
        <w:tc>
          <w:tcPr>
            <w:tcW w:w="1563" w:type="dxa"/>
            <w:vAlign w:val="center"/>
          </w:tcPr>
          <w:p>
            <w:pPr>
              <w:widowControl/>
              <w:jc w:val="left"/>
              <w:rPr>
                <w:b/>
                <w:color w:val="auto"/>
                <w:kern w:val="0"/>
                <w:sz w:val="20"/>
              </w:rPr>
            </w:pPr>
            <w:bookmarkStart w:id="10" w:name="_GoBack"/>
            <w:r>
              <w:rPr>
                <w:rFonts w:hint="eastAsia"/>
                <w:b/>
                <w:color w:val="auto"/>
                <w:kern w:val="0"/>
                <w:sz w:val="20"/>
              </w:rPr>
              <w:t>項目</w:t>
            </w:r>
          </w:p>
        </w:tc>
        <w:tc>
          <w:tcPr>
            <w:tcW w:w="1469" w:type="dxa"/>
            <w:vAlign w:val="bottom"/>
          </w:tcPr>
          <w:p>
            <w:pPr>
              <w:pStyle w:val="106"/>
              <w:pBdr>
                <w:bottom w:val="single" w:color="auto" w:sz="4" w:space="1"/>
              </w:pBdr>
              <w:spacing w:line="240" w:lineRule="exact"/>
              <w:jc w:val="center"/>
              <w:rPr>
                <w:rFonts w:ascii="Times New Roman" w:hAnsi="Times New Roman"/>
                <w:b/>
                <w:color w:val="auto"/>
                <w:kern w:val="2"/>
                <w:sz w:val="22"/>
              </w:rPr>
            </w:pPr>
            <w:r>
              <w:rPr>
                <w:rFonts w:hint="eastAsia" w:ascii="Times New Roman" w:hAnsi="Times New Roman"/>
                <w:b/>
                <w:color w:val="auto"/>
                <w:kern w:val="2"/>
                <w:sz w:val="22"/>
              </w:rPr>
              <w:t>化學原料藥</w:t>
            </w:r>
          </w:p>
        </w:tc>
        <w:tc>
          <w:tcPr>
            <w:tcW w:w="1469" w:type="dxa"/>
            <w:vAlign w:val="bottom"/>
          </w:tcPr>
          <w:p>
            <w:pPr>
              <w:pStyle w:val="106"/>
              <w:pBdr>
                <w:bottom w:val="single" w:color="auto" w:sz="4" w:space="1"/>
              </w:pBdr>
              <w:spacing w:line="240" w:lineRule="exact"/>
              <w:jc w:val="center"/>
              <w:rPr>
                <w:rFonts w:ascii="Times New Roman" w:hAnsi="Times New Roman"/>
                <w:b/>
                <w:color w:val="auto"/>
                <w:kern w:val="2"/>
                <w:sz w:val="22"/>
              </w:rPr>
            </w:pPr>
            <w:r>
              <w:rPr>
                <w:rFonts w:hint="eastAsia" w:ascii="Times New Roman" w:hAnsi="Times New Roman"/>
                <w:b/>
                <w:color w:val="auto"/>
                <w:kern w:val="2"/>
                <w:sz w:val="22"/>
              </w:rPr>
              <w:t>製劑</w:t>
            </w:r>
          </w:p>
        </w:tc>
        <w:tc>
          <w:tcPr>
            <w:tcW w:w="1469" w:type="dxa"/>
            <w:vAlign w:val="bottom"/>
          </w:tcPr>
          <w:p>
            <w:pPr>
              <w:pStyle w:val="106"/>
              <w:pBdr>
                <w:bottom w:val="single" w:color="auto" w:sz="4" w:space="1"/>
              </w:pBdr>
              <w:spacing w:line="240" w:lineRule="exact"/>
              <w:jc w:val="center"/>
              <w:rPr>
                <w:rFonts w:ascii="Times New Roman" w:hAnsi="Times New Roman"/>
                <w:b/>
                <w:color w:val="auto"/>
                <w:kern w:val="2"/>
                <w:sz w:val="22"/>
                <w:lang w:eastAsia="zh-TW"/>
              </w:rPr>
            </w:pPr>
            <w:r>
              <w:rPr>
                <w:rFonts w:hint="eastAsia" w:ascii="Times New Roman" w:hAnsi="Times New Roman"/>
                <w:b/>
                <w:color w:val="auto"/>
                <w:kern w:val="2"/>
                <w:sz w:val="22"/>
                <w:lang w:eastAsia="zh-TW"/>
              </w:rPr>
              <w:t>醫藥中間體及其他產品</w:t>
            </w:r>
          </w:p>
        </w:tc>
        <w:tc>
          <w:tcPr>
            <w:tcW w:w="1478" w:type="dxa"/>
            <w:vAlign w:val="bottom"/>
          </w:tcPr>
          <w:p>
            <w:pPr>
              <w:pStyle w:val="106"/>
              <w:pBdr>
                <w:bottom w:val="single" w:color="auto" w:sz="4" w:space="1"/>
              </w:pBdr>
              <w:spacing w:line="240" w:lineRule="exact"/>
              <w:jc w:val="center"/>
              <w:rPr>
                <w:rFonts w:ascii="Times New Roman" w:hAnsi="Times New Roman"/>
                <w:b/>
                <w:color w:val="auto"/>
                <w:kern w:val="2"/>
                <w:sz w:val="22"/>
              </w:rPr>
            </w:pPr>
            <w:r>
              <w:rPr>
                <w:rFonts w:hint="eastAsia" w:ascii="Times New Roman" w:hAnsi="Times New Roman"/>
                <w:b/>
                <w:color w:val="auto"/>
                <w:kern w:val="2"/>
                <w:sz w:val="22"/>
              </w:rPr>
              <w:t>未分配項目</w:t>
            </w:r>
          </w:p>
        </w:tc>
        <w:tc>
          <w:tcPr>
            <w:tcW w:w="1691" w:type="dxa"/>
            <w:vAlign w:val="bottom"/>
          </w:tcPr>
          <w:p>
            <w:pPr>
              <w:pStyle w:val="106"/>
              <w:pBdr>
                <w:bottom w:val="single" w:color="auto" w:sz="4" w:space="1"/>
              </w:pBdr>
              <w:spacing w:line="240" w:lineRule="exact"/>
              <w:jc w:val="center"/>
              <w:rPr>
                <w:rFonts w:ascii="Times New Roman" w:hAnsi="Times New Roman"/>
                <w:b/>
                <w:color w:val="auto"/>
                <w:kern w:val="2"/>
                <w:sz w:val="22"/>
              </w:rPr>
            </w:pPr>
            <w:r>
              <w:rPr>
                <w:rFonts w:hint="eastAsia" w:ascii="Times New Roman" w:hAnsi="Times New Roman"/>
                <w:b/>
                <w:color w:val="auto"/>
                <w:kern w:val="2"/>
                <w:sz w:val="22"/>
              </w:rPr>
              <w:t>抵銷</w:t>
            </w:r>
          </w:p>
        </w:tc>
        <w:tc>
          <w:tcPr>
            <w:tcW w:w="1459" w:type="dxa"/>
            <w:vAlign w:val="bottom"/>
          </w:tcPr>
          <w:p>
            <w:pPr>
              <w:pStyle w:val="106"/>
              <w:pBdr>
                <w:bottom w:val="single" w:color="auto" w:sz="4" w:space="1"/>
              </w:pBdr>
              <w:spacing w:line="240" w:lineRule="exact"/>
              <w:jc w:val="center"/>
              <w:rPr>
                <w:rFonts w:ascii="Times New Roman" w:hAnsi="Times New Roman"/>
                <w:b/>
                <w:color w:val="auto"/>
                <w:kern w:val="2"/>
                <w:sz w:val="22"/>
              </w:rPr>
            </w:pPr>
            <w:r>
              <w:rPr>
                <w:rFonts w:hint="eastAsia" w:ascii="Times New Roman" w:hAnsi="Times New Roman"/>
                <w:b/>
                <w:color w:val="auto"/>
                <w:kern w:val="2"/>
                <w:sz w:val="22"/>
              </w:rPr>
              <w:t>合計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563" w:type="dxa"/>
            <w:vAlign w:val="center"/>
          </w:tcPr>
          <w:p>
            <w:pPr>
              <w:widowControl/>
              <w:rPr>
                <w:color w:val="auto"/>
                <w:kern w:val="0"/>
                <w:sz w:val="18"/>
              </w:rPr>
            </w:pPr>
            <w:r>
              <w:rPr>
                <w:rFonts w:hint="eastAsia"/>
                <w:color w:val="auto"/>
                <w:kern w:val="0"/>
                <w:sz w:val="18"/>
              </w:rPr>
              <w:t>營業收入</w:t>
            </w:r>
          </w:p>
        </w:tc>
        <w:tc>
          <w:tcPr>
            <w:tcW w:w="1469" w:type="dxa"/>
            <w:vAlign w:val="center"/>
          </w:tcPr>
          <w:p>
            <w:pPr>
              <w:widowControl/>
              <w:jc w:val="right"/>
              <w:rPr>
                <w:color w:val="auto"/>
                <w:kern w:val="0"/>
                <w:sz w:val="17"/>
              </w:rPr>
            </w:pPr>
            <w:r>
              <w:rPr>
                <w:color w:val="auto"/>
                <w:sz w:val="17"/>
              </w:rPr>
              <w:t>1,969,877,819.55</w:t>
            </w:r>
          </w:p>
        </w:tc>
        <w:tc>
          <w:tcPr>
            <w:tcW w:w="1469" w:type="dxa"/>
            <w:vAlign w:val="center"/>
          </w:tcPr>
          <w:p>
            <w:pPr>
              <w:widowControl/>
              <w:jc w:val="right"/>
              <w:rPr>
                <w:color w:val="auto"/>
                <w:kern w:val="0"/>
                <w:sz w:val="17"/>
              </w:rPr>
            </w:pPr>
            <w:r>
              <w:rPr>
                <w:color w:val="auto"/>
                <w:sz w:val="17"/>
              </w:rPr>
              <w:t>2,343,280,366.61</w:t>
            </w:r>
          </w:p>
        </w:tc>
        <w:tc>
          <w:tcPr>
            <w:tcW w:w="1469" w:type="dxa"/>
            <w:vAlign w:val="center"/>
          </w:tcPr>
          <w:p>
            <w:pPr>
              <w:widowControl/>
              <w:jc w:val="right"/>
              <w:rPr>
                <w:color w:val="auto"/>
                <w:kern w:val="0"/>
                <w:sz w:val="17"/>
              </w:rPr>
            </w:pPr>
            <w:r>
              <w:rPr>
                <w:color w:val="auto"/>
                <w:sz w:val="17"/>
              </w:rPr>
              <w:t>1,151,933,206.76</w:t>
            </w:r>
          </w:p>
        </w:tc>
        <w:tc>
          <w:tcPr>
            <w:tcW w:w="1478" w:type="dxa"/>
            <w:vAlign w:val="center"/>
          </w:tcPr>
          <w:p>
            <w:pPr>
              <w:widowControl/>
              <w:jc w:val="right"/>
              <w:rPr>
                <w:color w:val="auto"/>
                <w:kern w:val="0"/>
                <w:sz w:val="17"/>
              </w:rPr>
            </w:pPr>
            <w:r>
              <w:rPr>
                <w:color w:val="auto"/>
                <w:sz w:val="17"/>
              </w:rPr>
              <w:t>-</w:t>
            </w:r>
          </w:p>
        </w:tc>
        <w:tc>
          <w:tcPr>
            <w:tcW w:w="1691" w:type="dxa"/>
            <w:vAlign w:val="center"/>
          </w:tcPr>
          <w:p>
            <w:pPr>
              <w:widowControl/>
              <w:jc w:val="right"/>
              <w:rPr>
                <w:color w:val="auto"/>
                <w:kern w:val="0"/>
                <w:sz w:val="17"/>
              </w:rPr>
            </w:pPr>
            <w:r>
              <w:rPr>
                <w:color w:val="auto"/>
                <w:sz w:val="17"/>
              </w:rPr>
              <w:t>(949,374,608.73)</w:t>
            </w:r>
          </w:p>
        </w:tc>
        <w:tc>
          <w:tcPr>
            <w:tcW w:w="1459" w:type="dxa"/>
            <w:vAlign w:val="center"/>
          </w:tcPr>
          <w:p>
            <w:pPr>
              <w:widowControl/>
              <w:jc w:val="right"/>
              <w:rPr>
                <w:color w:val="auto"/>
                <w:kern w:val="0"/>
                <w:sz w:val="17"/>
              </w:rPr>
            </w:pPr>
            <w:r>
              <w:rPr>
                <w:color w:val="auto"/>
                <w:sz w:val="17"/>
              </w:rPr>
              <w:t>4,515,716,784.19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0" w:hRule="atLeast"/>
        </w:trPr>
        <w:tc>
          <w:tcPr>
            <w:tcW w:w="1563" w:type="dxa"/>
            <w:vAlign w:val="center"/>
          </w:tcPr>
          <w:p>
            <w:pPr>
              <w:widowControl/>
              <w:ind w:left="630" w:hanging="630" w:hangingChars="350"/>
              <w:rPr>
                <w:color w:val="auto"/>
                <w:kern w:val="0"/>
                <w:sz w:val="18"/>
              </w:rPr>
            </w:pPr>
            <w:r>
              <w:rPr>
                <w:rFonts w:hint="eastAsia"/>
                <w:color w:val="auto"/>
                <w:kern w:val="0"/>
                <w:sz w:val="18"/>
              </w:rPr>
              <w:t>其中：對外交易收入</w:t>
            </w:r>
          </w:p>
        </w:tc>
        <w:tc>
          <w:tcPr>
            <w:tcW w:w="1469" w:type="dxa"/>
            <w:vAlign w:val="center"/>
          </w:tcPr>
          <w:p>
            <w:pPr>
              <w:widowControl/>
              <w:jc w:val="right"/>
              <w:rPr>
                <w:color w:val="auto"/>
                <w:kern w:val="0"/>
                <w:sz w:val="17"/>
              </w:rPr>
            </w:pPr>
            <w:r>
              <w:rPr>
                <w:color w:val="auto"/>
                <w:sz w:val="17"/>
              </w:rPr>
              <w:t>1,964,518,136.35</w:t>
            </w:r>
          </w:p>
        </w:tc>
        <w:tc>
          <w:tcPr>
            <w:tcW w:w="1469" w:type="dxa"/>
            <w:vAlign w:val="center"/>
          </w:tcPr>
          <w:p>
            <w:pPr>
              <w:widowControl/>
              <w:jc w:val="right"/>
              <w:rPr>
                <w:color w:val="auto"/>
                <w:kern w:val="0"/>
                <w:sz w:val="17"/>
              </w:rPr>
            </w:pPr>
            <w:r>
              <w:rPr>
                <w:color w:val="auto"/>
                <w:sz w:val="17"/>
              </w:rPr>
              <w:t>1,982,189,474.18</w:t>
            </w:r>
          </w:p>
        </w:tc>
        <w:tc>
          <w:tcPr>
            <w:tcW w:w="1469" w:type="dxa"/>
            <w:vAlign w:val="center"/>
          </w:tcPr>
          <w:p>
            <w:pPr>
              <w:widowControl/>
              <w:jc w:val="right"/>
              <w:rPr>
                <w:color w:val="auto"/>
                <w:kern w:val="0"/>
                <w:sz w:val="17"/>
              </w:rPr>
            </w:pPr>
            <w:r>
              <w:rPr>
                <w:color w:val="auto"/>
                <w:sz w:val="17"/>
              </w:rPr>
              <w:t>569,009,173.66</w:t>
            </w:r>
          </w:p>
        </w:tc>
        <w:tc>
          <w:tcPr>
            <w:tcW w:w="1478" w:type="dxa"/>
            <w:vAlign w:val="center"/>
          </w:tcPr>
          <w:p>
            <w:pPr>
              <w:widowControl/>
              <w:jc w:val="right"/>
              <w:rPr>
                <w:color w:val="auto"/>
                <w:kern w:val="0"/>
                <w:sz w:val="17"/>
              </w:rPr>
            </w:pPr>
            <w:r>
              <w:rPr>
                <w:color w:val="auto"/>
                <w:sz w:val="17"/>
              </w:rPr>
              <w:t>-</w:t>
            </w:r>
          </w:p>
        </w:tc>
        <w:tc>
          <w:tcPr>
            <w:tcW w:w="1691" w:type="dxa"/>
            <w:vAlign w:val="center"/>
          </w:tcPr>
          <w:p>
            <w:pPr>
              <w:widowControl/>
              <w:jc w:val="right"/>
              <w:rPr>
                <w:color w:val="auto"/>
                <w:kern w:val="0"/>
                <w:sz w:val="17"/>
              </w:rPr>
            </w:pPr>
          </w:p>
        </w:tc>
        <w:tc>
          <w:tcPr>
            <w:tcW w:w="1459" w:type="dxa"/>
            <w:vAlign w:val="center"/>
          </w:tcPr>
          <w:p>
            <w:pPr>
              <w:widowControl/>
              <w:jc w:val="right"/>
              <w:rPr>
                <w:color w:val="auto"/>
                <w:kern w:val="0"/>
                <w:sz w:val="17"/>
              </w:rPr>
            </w:pPr>
            <w:r>
              <w:rPr>
                <w:color w:val="auto"/>
                <w:sz w:val="17"/>
              </w:rPr>
              <w:t>4,515,716,784.19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0" w:hRule="atLeast"/>
        </w:trPr>
        <w:tc>
          <w:tcPr>
            <w:tcW w:w="1563" w:type="dxa"/>
            <w:vAlign w:val="center"/>
          </w:tcPr>
          <w:p>
            <w:pPr>
              <w:widowControl/>
              <w:ind w:left="451" w:leftChars="215"/>
              <w:rPr>
                <w:color w:val="auto"/>
                <w:kern w:val="0"/>
                <w:sz w:val="18"/>
              </w:rPr>
            </w:pPr>
            <w:r>
              <w:rPr>
                <w:rFonts w:hint="eastAsia"/>
                <w:color w:val="auto"/>
                <w:kern w:val="0"/>
                <w:sz w:val="18"/>
              </w:rPr>
              <w:t>分部間交易收入</w:t>
            </w:r>
          </w:p>
        </w:tc>
        <w:tc>
          <w:tcPr>
            <w:tcW w:w="1469" w:type="dxa"/>
            <w:vAlign w:val="center"/>
          </w:tcPr>
          <w:p>
            <w:pPr>
              <w:widowControl/>
              <w:jc w:val="right"/>
              <w:rPr>
                <w:color w:val="auto"/>
                <w:kern w:val="0"/>
                <w:sz w:val="17"/>
              </w:rPr>
            </w:pPr>
            <w:r>
              <w:rPr>
                <w:color w:val="auto"/>
                <w:sz w:val="17"/>
              </w:rPr>
              <w:t>5,359,683.20</w:t>
            </w:r>
          </w:p>
        </w:tc>
        <w:tc>
          <w:tcPr>
            <w:tcW w:w="1469" w:type="dxa"/>
            <w:vAlign w:val="center"/>
          </w:tcPr>
          <w:p>
            <w:pPr>
              <w:widowControl/>
              <w:jc w:val="right"/>
              <w:rPr>
                <w:color w:val="auto"/>
                <w:kern w:val="0"/>
                <w:sz w:val="17"/>
              </w:rPr>
            </w:pPr>
            <w:r>
              <w:rPr>
                <w:color w:val="auto"/>
                <w:sz w:val="17"/>
              </w:rPr>
              <w:t>361,090,892.43</w:t>
            </w:r>
          </w:p>
        </w:tc>
        <w:tc>
          <w:tcPr>
            <w:tcW w:w="1469" w:type="dxa"/>
            <w:vAlign w:val="center"/>
          </w:tcPr>
          <w:p>
            <w:pPr>
              <w:widowControl/>
              <w:jc w:val="right"/>
              <w:rPr>
                <w:color w:val="auto"/>
                <w:kern w:val="0"/>
                <w:sz w:val="17"/>
              </w:rPr>
            </w:pPr>
            <w:r>
              <w:rPr>
                <w:color w:val="auto"/>
                <w:sz w:val="17"/>
              </w:rPr>
              <w:t>582,924,033.10</w:t>
            </w:r>
          </w:p>
        </w:tc>
        <w:tc>
          <w:tcPr>
            <w:tcW w:w="1478" w:type="dxa"/>
            <w:vAlign w:val="center"/>
          </w:tcPr>
          <w:p>
            <w:pPr>
              <w:widowControl/>
              <w:jc w:val="right"/>
              <w:rPr>
                <w:color w:val="auto"/>
                <w:kern w:val="0"/>
                <w:sz w:val="17"/>
              </w:rPr>
            </w:pPr>
            <w:r>
              <w:rPr>
                <w:color w:val="auto"/>
                <w:sz w:val="17"/>
              </w:rPr>
              <w:t>-</w:t>
            </w:r>
          </w:p>
        </w:tc>
        <w:tc>
          <w:tcPr>
            <w:tcW w:w="1691" w:type="dxa"/>
            <w:vAlign w:val="center"/>
          </w:tcPr>
          <w:p>
            <w:pPr>
              <w:widowControl/>
              <w:jc w:val="right"/>
              <w:rPr>
                <w:color w:val="auto"/>
                <w:kern w:val="0"/>
                <w:sz w:val="17"/>
              </w:rPr>
            </w:pPr>
            <w:r>
              <w:rPr>
                <w:color w:val="auto"/>
                <w:sz w:val="17"/>
              </w:rPr>
              <w:t>(949,374,608.73)</w:t>
            </w:r>
          </w:p>
        </w:tc>
        <w:tc>
          <w:tcPr>
            <w:tcW w:w="1459" w:type="dxa"/>
            <w:vAlign w:val="center"/>
          </w:tcPr>
          <w:p>
            <w:pPr>
              <w:widowControl/>
              <w:jc w:val="right"/>
              <w:rPr>
                <w:color w:val="auto"/>
                <w:kern w:val="0"/>
                <w:sz w:val="17"/>
              </w:rPr>
            </w:pPr>
            <w:r>
              <w:rPr>
                <w:color w:val="auto"/>
                <w:sz w:val="17"/>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563" w:type="dxa"/>
            <w:vAlign w:val="center"/>
          </w:tcPr>
          <w:p>
            <w:pPr>
              <w:widowControl/>
              <w:rPr>
                <w:color w:val="auto"/>
                <w:kern w:val="0"/>
                <w:sz w:val="18"/>
              </w:rPr>
            </w:pPr>
            <w:r>
              <w:rPr>
                <w:rFonts w:hint="eastAsia"/>
                <w:color w:val="auto"/>
                <w:kern w:val="0"/>
                <w:sz w:val="18"/>
              </w:rPr>
              <w:t>營業成本</w:t>
            </w:r>
          </w:p>
        </w:tc>
        <w:tc>
          <w:tcPr>
            <w:tcW w:w="1469" w:type="dxa"/>
            <w:vAlign w:val="center"/>
          </w:tcPr>
          <w:p>
            <w:pPr>
              <w:widowControl/>
              <w:jc w:val="right"/>
              <w:rPr>
                <w:color w:val="auto"/>
                <w:kern w:val="0"/>
                <w:sz w:val="17"/>
              </w:rPr>
            </w:pPr>
            <w:r>
              <w:rPr>
                <w:color w:val="auto"/>
                <w:sz w:val="17"/>
              </w:rPr>
              <w:t>1,441,359,036.62</w:t>
            </w:r>
          </w:p>
        </w:tc>
        <w:tc>
          <w:tcPr>
            <w:tcW w:w="1469" w:type="dxa"/>
            <w:vAlign w:val="center"/>
          </w:tcPr>
          <w:p>
            <w:pPr>
              <w:widowControl/>
              <w:jc w:val="right"/>
              <w:rPr>
                <w:color w:val="auto"/>
                <w:kern w:val="0"/>
                <w:sz w:val="17"/>
              </w:rPr>
            </w:pPr>
            <w:r>
              <w:rPr>
                <w:color w:val="auto"/>
                <w:sz w:val="17"/>
              </w:rPr>
              <w:t>1,744,748,645.80</w:t>
            </w:r>
          </w:p>
        </w:tc>
        <w:tc>
          <w:tcPr>
            <w:tcW w:w="1469" w:type="dxa"/>
            <w:vAlign w:val="center"/>
          </w:tcPr>
          <w:p>
            <w:pPr>
              <w:widowControl/>
              <w:jc w:val="right"/>
              <w:rPr>
                <w:color w:val="auto"/>
                <w:kern w:val="0"/>
                <w:sz w:val="17"/>
              </w:rPr>
            </w:pPr>
            <w:r>
              <w:rPr>
                <w:color w:val="auto"/>
                <w:sz w:val="17"/>
              </w:rPr>
              <w:t>1,022,520,815.49</w:t>
            </w:r>
          </w:p>
        </w:tc>
        <w:tc>
          <w:tcPr>
            <w:tcW w:w="1478" w:type="dxa"/>
            <w:vAlign w:val="center"/>
          </w:tcPr>
          <w:p>
            <w:pPr>
              <w:widowControl/>
              <w:jc w:val="right"/>
              <w:rPr>
                <w:color w:val="auto"/>
                <w:kern w:val="0"/>
                <w:sz w:val="17"/>
              </w:rPr>
            </w:pPr>
            <w:r>
              <w:rPr>
                <w:color w:val="auto"/>
                <w:sz w:val="17"/>
              </w:rPr>
              <w:t>-</w:t>
            </w:r>
          </w:p>
        </w:tc>
        <w:tc>
          <w:tcPr>
            <w:tcW w:w="1691" w:type="dxa"/>
            <w:vAlign w:val="center"/>
          </w:tcPr>
          <w:p>
            <w:pPr>
              <w:widowControl/>
              <w:jc w:val="right"/>
              <w:rPr>
                <w:color w:val="auto"/>
                <w:kern w:val="0"/>
                <w:sz w:val="17"/>
              </w:rPr>
            </w:pPr>
            <w:r>
              <w:rPr>
                <w:color w:val="auto"/>
                <w:sz w:val="17"/>
              </w:rPr>
              <w:t>(961,012,659.05)</w:t>
            </w:r>
          </w:p>
        </w:tc>
        <w:tc>
          <w:tcPr>
            <w:tcW w:w="1459" w:type="dxa"/>
            <w:vAlign w:val="center"/>
          </w:tcPr>
          <w:p>
            <w:pPr>
              <w:widowControl/>
              <w:jc w:val="right"/>
              <w:rPr>
                <w:color w:val="auto"/>
                <w:kern w:val="0"/>
                <w:sz w:val="17"/>
              </w:rPr>
            </w:pPr>
            <w:r>
              <w:rPr>
                <w:color w:val="auto"/>
                <w:sz w:val="17"/>
              </w:rPr>
              <w:t>3,247,615,838.86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563" w:type="dxa"/>
            <w:vAlign w:val="center"/>
          </w:tcPr>
          <w:p>
            <w:pPr>
              <w:widowControl/>
              <w:rPr>
                <w:color w:val="auto"/>
                <w:kern w:val="0"/>
                <w:sz w:val="18"/>
              </w:rPr>
            </w:pPr>
            <w:r>
              <w:rPr>
                <w:rFonts w:hint="eastAsia"/>
                <w:color w:val="auto"/>
                <w:kern w:val="0"/>
                <w:sz w:val="18"/>
              </w:rPr>
              <w:t>成本抵消</w:t>
            </w:r>
          </w:p>
        </w:tc>
        <w:tc>
          <w:tcPr>
            <w:tcW w:w="1469" w:type="dxa"/>
            <w:vAlign w:val="center"/>
          </w:tcPr>
          <w:p>
            <w:pPr>
              <w:widowControl/>
              <w:jc w:val="right"/>
              <w:rPr>
                <w:color w:val="auto"/>
                <w:kern w:val="0"/>
                <w:sz w:val="17"/>
              </w:rPr>
            </w:pPr>
            <w:r>
              <w:rPr>
                <w:color w:val="auto"/>
                <w:sz w:val="17"/>
              </w:rPr>
              <w:t>44,736,437.21</w:t>
            </w:r>
          </w:p>
        </w:tc>
        <w:tc>
          <w:tcPr>
            <w:tcW w:w="1469" w:type="dxa"/>
            <w:vAlign w:val="center"/>
          </w:tcPr>
          <w:p>
            <w:pPr>
              <w:widowControl/>
              <w:jc w:val="right"/>
              <w:rPr>
                <w:color w:val="auto"/>
                <w:kern w:val="0"/>
                <w:sz w:val="17"/>
              </w:rPr>
            </w:pPr>
            <w:r>
              <w:rPr>
                <w:color w:val="auto"/>
                <w:sz w:val="17"/>
              </w:rPr>
              <w:t>362,941,126.10</w:t>
            </w:r>
          </w:p>
        </w:tc>
        <w:tc>
          <w:tcPr>
            <w:tcW w:w="1469" w:type="dxa"/>
            <w:vAlign w:val="center"/>
          </w:tcPr>
          <w:p>
            <w:pPr>
              <w:widowControl/>
              <w:jc w:val="right"/>
              <w:rPr>
                <w:color w:val="auto"/>
                <w:kern w:val="0"/>
                <w:sz w:val="17"/>
              </w:rPr>
            </w:pPr>
            <w:r>
              <w:rPr>
                <w:color w:val="auto"/>
                <w:sz w:val="17"/>
              </w:rPr>
              <w:t>553,335,095.74</w:t>
            </w:r>
          </w:p>
        </w:tc>
        <w:tc>
          <w:tcPr>
            <w:tcW w:w="1478" w:type="dxa"/>
            <w:vAlign w:val="center"/>
          </w:tcPr>
          <w:p>
            <w:pPr>
              <w:widowControl/>
              <w:jc w:val="right"/>
              <w:rPr>
                <w:color w:val="auto"/>
                <w:kern w:val="0"/>
                <w:sz w:val="17"/>
              </w:rPr>
            </w:pPr>
            <w:r>
              <w:rPr>
                <w:color w:val="auto"/>
                <w:sz w:val="17"/>
              </w:rPr>
              <w:t>-</w:t>
            </w:r>
          </w:p>
        </w:tc>
        <w:tc>
          <w:tcPr>
            <w:tcW w:w="1691" w:type="dxa"/>
            <w:vAlign w:val="center"/>
          </w:tcPr>
          <w:p>
            <w:pPr>
              <w:widowControl/>
              <w:jc w:val="right"/>
              <w:rPr>
                <w:color w:val="auto"/>
                <w:kern w:val="0"/>
                <w:sz w:val="17"/>
              </w:rPr>
            </w:pPr>
            <w:r>
              <w:rPr>
                <w:color w:val="auto"/>
                <w:sz w:val="17"/>
              </w:rPr>
              <w:t>(961,012,659.05)</w:t>
            </w:r>
          </w:p>
        </w:tc>
        <w:tc>
          <w:tcPr>
            <w:tcW w:w="1459" w:type="dxa"/>
            <w:vAlign w:val="center"/>
          </w:tcPr>
          <w:p>
            <w:pPr>
              <w:widowControl/>
              <w:jc w:val="right"/>
              <w:rPr>
                <w:color w:val="auto"/>
                <w:kern w:val="0"/>
                <w:sz w:val="17"/>
              </w:rPr>
            </w:pPr>
            <w:r>
              <w:rPr>
                <w:color w:val="auto"/>
                <w:sz w:val="17"/>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563" w:type="dxa"/>
            <w:vAlign w:val="center"/>
          </w:tcPr>
          <w:p>
            <w:pPr>
              <w:widowControl/>
              <w:rPr>
                <w:color w:val="auto"/>
                <w:kern w:val="0"/>
                <w:sz w:val="18"/>
              </w:rPr>
            </w:pPr>
            <w:r>
              <w:rPr>
                <w:rFonts w:hint="eastAsia"/>
                <w:color w:val="auto"/>
                <w:kern w:val="0"/>
                <w:sz w:val="18"/>
              </w:rPr>
              <w:t>期間費用</w:t>
            </w:r>
          </w:p>
        </w:tc>
        <w:tc>
          <w:tcPr>
            <w:tcW w:w="1469" w:type="dxa"/>
            <w:vAlign w:val="center"/>
          </w:tcPr>
          <w:p>
            <w:pPr>
              <w:widowControl/>
              <w:jc w:val="right"/>
              <w:rPr>
                <w:color w:val="auto"/>
                <w:kern w:val="0"/>
                <w:sz w:val="17"/>
              </w:rPr>
            </w:pPr>
            <w:r>
              <w:rPr>
                <w:color w:val="auto"/>
                <w:sz w:val="17"/>
              </w:rPr>
              <w:t>303,335,936.60</w:t>
            </w:r>
          </w:p>
        </w:tc>
        <w:tc>
          <w:tcPr>
            <w:tcW w:w="1469" w:type="dxa"/>
            <w:vAlign w:val="center"/>
          </w:tcPr>
          <w:p>
            <w:pPr>
              <w:widowControl/>
              <w:jc w:val="right"/>
              <w:rPr>
                <w:color w:val="auto"/>
                <w:kern w:val="0"/>
                <w:sz w:val="17"/>
              </w:rPr>
            </w:pPr>
            <w:r>
              <w:rPr>
                <w:color w:val="auto"/>
                <w:sz w:val="17"/>
              </w:rPr>
              <w:t>612,070,821.73</w:t>
            </w:r>
          </w:p>
        </w:tc>
        <w:tc>
          <w:tcPr>
            <w:tcW w:w="1469" w:type="dxa"/>
            <w:vAlign w:val="center"/>
          </w:tcPr>
          <w:p>
            <w:pPr>
              <w:widowControl/>
              <w:jc w:val="right"/>
              <w:rPr>
                <w:color w:val="auto"/>
                <w:kern w:val="0"/>
                <w:sz w:val="17"/>
              </w:rPr>
            </w:pPr>
            <w:r>
              <w:rPr>
                <w:color w:val="auto"/>
                <w:sz w:val="17"/>
              </w:rPr>
              <w:t>58,795,119.64</w:t>
            </w:r>
          </w:p>
        </w:tc>
        <w:tc>
          <w:tcPr>
            <w:tcW w:w="1478" w:type="dxa"/>
            <w:vAlign w:val="center"/>
          </w:tcPr>
          <w:p>
            <w:pPr>
              <w:widowControl/>
              <w:jc w:val="right"/>
              <w:rPr>
                <w:color w:val="auto"/>
                <w:kern w:val="0"/>
                <w:sz w:val="17"/>
              </w:rPr>
            </w:pPr>
            <w:r>
              <w:rPr>
                <w:color w:val="auto"/>
                <w:sz w:val="17"/>
              </w:rPr>
              <w:t>-</w:t>
            </w:r>
          </w:p>
        </w:tc>
        <w:tc>
          <w:tcPr>
            <w:tcW w:w="1691" w:type="dxa"/>
            <w:vAlign w:val="center"/>
          </w:tcPr>
          <w:p>
            <w:pPr>
              <w:widowControl/>
              <w:jc w:val="right"/>
              <w:rPr>
                <w:color w:val="auto"/>
                <w:kern w:val="0"/>
                <w:sz w:val="17"/>
              </w:rPr>
            </w:pPr>
            <w:r>
              <w:rPr>
                <w:color w:val="auto"/>
                <w:sz w:val="17"/>
              </w:rPr>
              <w:t>-</w:t>
            </w:r>
          </w:p>
        </w:tc>
        <w:tc>
          <w:tcPr>
            <w:tcW w:w="1459" w:type="dxa"/>
            <w:vAlign w:val="center"/>
          </w:tcPr>
          <w:p>
            <w:pPr>
              <w:widowControl/>
              <w:jc w:val="right"/>
              <w:rPr>
                <w:color w:val="auto"/>
                <w:kern w:val="0"/>
                <w:sz w:val="17"/>
              </w:rPr>
            </w:pPr>
            <w:r>
              <w:rPr>
                <w:color w:val="auto"/>
                <w:sz w:val="17"/>
              </w:rPr>
              <w:t>974,201,877.97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68" w:hRule="atLeast"/>
        </w:trPr>
        <w:tc>
          <w:tcPr>
            <w:tcW w:w="1563" w:type="dxa"/>
            <w:vAlign w:val="center"/>
          </w:tcPr>
          <w:p>
            <w:pPr>
              <w:widowControl/>
              <w:rPr>
                <w:color w:val="auto"/>
                <w:kern w:val="0"/>
                <w:sz w:val="18"/>
                <w:lang w:eastAsia="zh-TW"/>
              </w:rPr>
            </w:pPr>
            <w:r>
              <w:rPr>
                <w:rFonts w:hint="eastAsia"/>
                <w:color w:val="auto"/>
                <w:kern w:val="0"/>
                <w:sz w:val="18"/>
                <w:lang w:eastAsia="zh-TW"/>
              </w:rPr>
              <w:t>營業利潤總額（虧損總額）</w:t>
            </w:r>
          </w:p>
        </w:tc>
        <w:tc>
          <w:tcPr>
            <w:tcW w:w="1469" w:type="dxa"/>
            <w:vAlign w:val="center"/>
          </w:tcPr>
          <w:p>
            <w:pPr>
              <w:widowControl/>
              <w:jc w:val="right"/>
              <w:rPr>
                <w:color w:val="auto"/>
                <w:kern w:val="0"/>
                <w:sz w:val="17"/>
              </w:rPr>
            </w:pPr>
            <w:r>
              <w:rPr>
                <w:color w:val="auto"/>
                <w:sz w:val="17"/>
              </w:rPr>
              <w:t>-</w:t>
            </w:r>
          </w:p>
        </w:tc>
        <w:tc>
          <w:tcPr>
            <w:tcW w:w="1469" w:type="dxa"/>
            <w:vAlign w:val="center"/>
          </w:tcPr>
          <w:p>
            <w:pPr>
              <w:widowControl/>
              <w:jc w:val="right"/>
              <w:rPr>
                <w:color w:val="auto"/>
                <w:kern w:val="0"/>
                <w:sz w:val="17"/>
              </w:rPr>
            </w:pPr>
            <w:r>
              <w:rPr>
                <w:color w:val="auto"/>
                <w:sz w:val="17"/>
              </w:rPr>
              <w:t>-</w:t>
            </w:r>
          </w:p>
        </w:tc>
        <w:tc>
          <w:tcPr>
            <w:tcW w:w="1469" w:type="dxa"/>
            <w:vAlign w:val="center"/>
          </w:tcPr>
          <w:p>
            <w:pPr>
              <w:widowControl/>
              <w:jc w:val="right"/>
              <w:rPr>
                <w:color w:val="auto"/>
                <w:kern w:val="0"/>
                <w:sz w:val="17"/>
              </w:rPr>
            </w:pPr>
            <w:r>
              <w:rPr>
                <w:color w:val="auto"/>
                <w:sz w:val="17"/>
              </w:rPr>
              <w:t>-</w:t>
            </w:r>
          </w:p>
        </w:tc>
        <w:tc>
          <w:tcPr>
            <w:tcW w:w="1478" w:type="dxa"/>
            <w:vAlign w:val="center"/>
          </w:tcPr>
          <w:p>
            <w:pPr>
              <w:widowControl/>
              <w:jc w:val="right"/>
              <w:rPr>
                <w:color w:val="auto"/>
                <w:kern w:val="0"/>
                <w:sz w:val="17"/>
              </w:rPr>
            </w:pPr>
            <w:r>
              <w:rPr>
                <w:rFonts w:hint="eastAsia"/>
                <w:color w:val="auto"/>
                <w:sz w:val="17"/>
              </w:rPr>
              <w:t>274</w:t>
            </w:r>
            <w:r>
              <w:rPr>
                <w:color w:val="auto"/>
                <w:sz w:val="17"/>
              </w:rPr>
              <w:t>,280,037.36</w:t>
            </w:r>
          </w:p>
        </w:tc>
        <w:tc>
          <w:tcPr>
            <w:tcW w:w="1691" w:type="dxa"/>
            <w:vAlign w:val="center"/>
          </w:tcPr>
          <w:p>
            <w:pPr>
              <w:widowControl/>
              <w:jc w:val="right"/>
              <w:rPr>
                <w:color w:val="auto"/>
                <w:kern w:val="0"/>
                <w:sz w:val="17"/>
              </w:rPr>
            </w:pPr>
            <w:r>
              <w:rPr>
                <w:color w:val="auto"/>
                <w:sz w:val="17"/>
              </w:rPr>
              <w:t>7,400,830.36</w:t>
            </w:r>
          </w:p>
        </w:tc>
        <w:tc>
          <w:tcPr>
            <w:tcW w:w="1459" w:type="dxa"/>
            <w:vAlign w:val="center"/>
          </w:tcPr>
          <w:p>
            <w:pPr>
              <w:widowControl/>
              <w:jc w:val="right"/>
              <w:rPr>
                <w:color w:val="auto"/>
                <w:kern w:val="0"/>
                <w:sz w:val="17"/>
              </w:rPr>
            </w:pPr>
            <w:r>
              <w:rPr>
                <w:color w:val="auto"/>
                <w:sz w:val="17"/>
              </w:rPr>
              <w:t>281,680,867.72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563" w:type="dxa"/>
            <w:vAlign w:val="center"/>
          </w:tcPr>
          <w:p>
            <w:pPr>
              <w:widowControl/>
              <w:rPr>
                <w:color w:val="auto"/>
                <w:kern w:val="0"/>
                <w:sz w:val="18"/>
              </w:rPr>
            </w:pPr>
            <w:r>
              <w:rPr>
                <w:rFonts w:hint="eastAsia"/>
                <w:color w:val="auto"/>
                <w:kern w:val="0"/>
                <w:sz w:val="18"/>
              </w:rPr>
              <w:t>資產總額</w:t>
            </w:r>
          </w:p>
        </w:tc>
        <w:tc>
          <w:tcPr>
            <w:tcW w:w="1469" w:type="dxa"/>
            <w:vAlign w:val="center"/>
          </w:tcPr>
          <w:p>
            <w:pPr>
              <w:widowControl/>
              <w:jc w:val="right"/>
              <w:rPr>
                <w:color w:val="auto"/>
                <w:kern w:val="0"/>
                <w:sz w:val="17"/>
              </w:rPr>
            </w:pPr>
            <w:r>
              <w:rPr>
                <w:color w:val="auto"/>
                <w:sz w:val="17"/>
              </w:rPr>
              <w:t>2,616,440,054.82</w:t>
            </w:r>
          </w:p>
        </w:tc>
        <w:tc>
          <w:tcPr>
            <w:tcW w:w="1469" w:type="dxa"/>
            <w:vAlign w:val="center"/>
          </w:tcPr>
          <w:p>
            <w:pPr>
              <w:widowControl/>
              <w:jc w:val="right"/>
              <w:rPr>
                <w:color w:val="auto"/>
                <w:kern w:val="0"/>
                <w:sz w:val="17"/>
              </w:rPr>
            </w:pPr>
            <w:r>
              <w:rPr>
                <w:color w:val="auto"/>
                <w:sz w:val="17"/>
              </w:rPr>
              <w:t>1,458,152,818.13</w:t>
            </w:r>
          </w:p>
        </w:tc>
        <w:tc>
          <w:tcPr>
            <w:tcW w:w="1469" w:type="dxa"/>
            <w:vAlign w:val="center"/>
          </w:tcPr>
          <w:p>
            <w:pPr>
              <w:widowControl/>
              <w:jc w:val="right"/>
              <w:rPr>
                <w:color w:val="auto"/>
                <w:kern w:val="0"/>
                <w:sz w:val="17"/>
              </w:rPr>
            </w:pPr>
            <w:r>
              <w:rPr>
                <w:color w:val="auto"/>
                <w:sz w:val="17"/>
              </w:rPr>
              <w:t>1,063,400,196.07</w:t>
            </w:r>
          </w:p>
        </w:tc>
        <w:tc>
          <w:tcPr>
            <w:tcW w:w="1478" w:type="dxa"/>
            <w:vAlign w:val="center"/>
          </w:tcPr>
          <w:p>
            <w:pPr>
              <w:widowControl/>
              <w:jc w:val="right"/>
              <w:rPr>
                <w:color w:val="auto"/>
                <w:kern w:val="0"/>
                <w:sz w:val="17"/>
              </w:rPr>
            </w:pPr>
            <w:r>
              <w:rPr>
                <w:color w:val="auto"/>
                <w:sz w:val="17"/>
              </w:rPr>
              <w:t>1,335,578,854.38</w:t>
            </w:r>
          </w:p>
        </w:tc>
        <w:tc>
          <w:tcPr>
            <w:tcW w:w="1691" w:type="dxa"/>
            <w:vAlign w:val="center"/>
          </w:tcPr>
          <w:p>
            <w:pPr>
              <w:widowControl/>
              <w:jc w:val="right"/>
              <w:rPr>
                <w:color w:val="auto"/>
                <w:kern w:val="0"/>
                <w:sz w:val="17"/>
              </w:rPr>
            </w:pPr>
            <w:r>
              <w:rPr>
                <w:rFonts w:hint="eastAsia"/>
                <w:color w:val="auto"/>
                <w:sz w:val="17"/>
              </w:rPr>
              <w:t>（</w:t>
            </w:r>
            <w:r>
              <w:rPr>
                <w:color w:val="auto"/>
                <w:sz w:val="17"/>
              </w:rPr>
              <w:t>1,199,924,798.77）</w:t>
            </w:r>
          </w:p>
        </w:tc>
        <w:tc>
          <w:tcPr>
            <w:tcW w:w="1459" w:type="dxa"/>
            <w:vAlign w:val="center"/>
          </w:tcPr>
          <w:p>
            <w:pPr>
              <w:widowControl/>
              <w:jc w:val="right"/>
              <w:rPr>
                <w:color w:val="auto"/>
                <w:kern w:val="0"/>
                <w:sz w:val="17"/>
              </w:rPr>
            </w:pPr>
            <w:r>
              <w:rPr>
                <w:color w:val="auto"/>
                <w:sz w:val="17"/>
              </w:rPr>
              <w:t>5,273,647,124.63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563" w:type="dxa"/>
            <w:vAlign w:val="center"/>
          </w:tcPr>
          <w:p>
            <w:pPr>
              <w:widowControl/>
              <w:rPr>
                <w:color w:val="auto"/>
                <w:kern w:val="0"/>
                <w:sz w:val="18"/>
              </w:rPr>
            </w:pPr>
            <w:r>
              <w:rPr>
                <w:rFonts w:hint="eastAsia"/>
                <w:color w:val="auto"/>
                <w:kern w:val="0"/>
                <w:sz w:val="18"/>
              </w:rPr>
              <w:t>負債總額</w:t>
            </w:r>
          </w:p>
        </w:tc>
        <w:tc>
          <w:tcPr>
            <w:tcW w:w="1469" w:type="dxa"/>
            <w:vAlign w:val="center"/>
          </w:tcPr>
          <w:p>
            <w:pPr>
              <w:widowControl/>
              <w:jc w:val="right"/>
              <w:rPr>
                <w:color w:val="auto"/>
                <w:kern w:val="0"/>
                <w:sz w:val="17"/>
              </w:rPr>
            </w:pPr>
            <w:r>
              <w:rPr>
                <w:color w:val="auto"/>
                <w:sz w:val="17"/>
              </w:rPr>
              <w:t>922,370,357.92</w:t>
            </w:r>
          </w:p>
        </w:tc>
        <w:tc>
          <w:tcPr>
            <w:tcW w:w="1469" w:type="dxa"/>
            <w:vAlign w:val="center"/>
          </w:tcPr>
          <w:p>
            <w:pPr>
              <w:widowControl/>
              <w:jc w:val="right"/>
              <w:rPr>
                <w:color w:val="auto"/>
                <w:kern w:val="0"/>
                <w:sz w:val="17"/>
              </w:rPr>
            </w:pPr>
            <w:r>
              <w:rPr>
                <w:color w:val="auto"/>
                <w:sz w:val="17"/>
              </w:rPr>
              <w:t>716,136,253.74</w:t>
            </w:r>
          </w:p>
        </w:tc>
        <w:tc>
          <w:tcPr>
            <w:tcW w:w="1469" w:type="dxa"/>
            <w:vAlign w:val="center"/>
          </w:tcPr>
          <w:p>
            <w:pPr>
              <w:widowControl/>
              <w:jc w:val="right"/>
              <w:rPr>
                <w:color w:val="auto"/>
                <w:kern w:val="0"/>
                <w:sz w:val="17"/>
              </w:rPr>
            </w:pPr>
            <w:r>
              <w:rPr>
                <w:color w:val="auto"/>
                <w:sz w:val="17"/>
              </w:rPr>
              <w:t>514,040,053.38</w:t>
            </w:r>
          </w:p>
        </w:tc>
        <w:tc>
          <w:tcPr>
            <w:tcW w:w="1478" w:type="dxa"/>
            <w:vAlign w:val="center"/>
          </w:tcPr>
          <w:p>
            <w:pPr>
              <w:widowControl/>
              <w:jc w:val="right"/>
              <w:rPr>
                <w:color w:val="auto"/>
                <w:kern w:val="0"/>
                <w:sz w:val="17"/>
              </w:rPr>
            </w:pPr>
            <w:r>
              <w:rPr>
                <w:color w:val="auto"/>
                <w:sz w:val="17"/>
              </w:rPr>
              <w:t>1,265,087,374.98</w:t>
            </w:r>
          </w:p>
        </w:tc>
        <w:tc>
          <w:tcPr>
            <w:tcW w:w="1691" w:type="dxa"/>
            <w:vAlign w:val="center"/>
          </w:tcPr>
          <w:p>
            <w:pPr>
              <w:widowControl/>
              <w:jc w:val="right"/>
              <w:rPr>
                <w:color w:val="auto"/>
                <w:kern w:val="0"/>
                <w:sz w:val="17"/>
              </w:rPr>
            </w:pPr>
            <w:r>
              <w:rPr>
                <w:rFonts w:hint="eastAsia"/>
                <w:color w:val="auto"/>
                <w:sz w:val="17"/>
              </w:rPr>
              <w:t>（</w:t>
            </w:r>
            <w:r>
              <w:rPr>
                <w:color w:val="auto"/>
                <w:sz w:val="17"/>
              </w:rPr>
              <w:t>723,440,296.20）</w:t>
            </w:r>
          </w:p>
        </w:tc>
        <w:tc>
          <w:tcPr>
            <w:tcW w:w="1459" w:type="dxa"/>
            <w:vAlign w:val="center"/>
          </w:tcPr>
          <w:p>
            <w:pPr>
              <w:widowControl/>
              <w:jc w:val="right"/>
              <w:rPr>
                <w:color w:val="auto"/>
                <w:kern w:val="0"/>
                <w:sz w:val="17"/>
              </w:rPr>
            </w:pPr>
            <w:r>
              <w:rPr>
                <w:color w:val="auto"/>
                <w:sz w:val="17"/>
              </w:rPr>
              <w:t>2,694,193,743.82</w:t>
            </w:r>
          </w:p>
        </w:tc>
      </w:tr>
      <w:bookmarkEnd w:id="10"/>
    </w:tbl>
    <w:p>
      <w:pPr>
        <w:pStyle w:val="24"/>
        <w:rPr>
          <w:rFonts w:ascii="Times New Roman" w:hAnsi="Times New Roman"/>
        </w:rPr>
      </w:pPr>
    </w:p>
    <w:p>
      <w:pPr>
        <w:pStyle w:val="24"/>
        <w:rPr>
          <w:rFonts w:ascii="Times New Roman" w:hAnsi="Times New Roman"/>
        </w:rPr>
      </w:pPr>
    </w:p>
    <w:p>
      <w:pPr>
        <w:autoSpaceDE w:val="0"/>
        <w:autoSpaceDN w:val="0"/>
        <w:adjustRightInd w:val="0"/>
        <w:ind w:firstLine="330" w:firstLineChars="150"/>
        <w:jc w:val="center"/>
        <w:rPr>
          <w:sz w:val="22"/>
          <w:u w:val="single"/>
          <w:lang w:eastAsia="zh-TW"/>
        </w:rPr>
      </w:pPr>
      <w:r>
        <w:rPr>
          <w:rFonts w:hint="eastAsia"/>
          <w:sz w:val="22"/>
          <w:u w:val="single"/>
          <w:lang w:eastAsia="zh-TW"/>
        </w:rPr>
        <w:t>截至二零一六年十二月三十一日止年度</w:t>
      </w:r>
      <w:r>
        <w:rPr>
          <w:sz w:val="22"/>
          <w:u w:val="single"/>
          <w:lang w:eastAsia="zh-TW"/>
        </w:rPr>
        <w:t>(</w:t>
      </w:r>
      <w:r>
        <w:rPr>
          <w:rFonts w:hint="eastAsia"/>
          <w:sz w:val="22"/>
          <w:u w:val="single"/>
          <w:lang w:eastAsia="zh-TW"/>
        </w:rPr>
        <w:t>經審計</w:t>
      </w:r>
      <w:r>
        <w:rPr>
          <w:sz w:val="22"/>
          <w:u w:val="single"/>
          <w:lang w:eastAsia="zh-TW"/>
        </w:rPr>
        <w:t>)</w:t>
      </w:r>
    </w:p>
    <w:p>
      <w:pPr>
        <w:autoSpaceDE w:val="0"/>
        <w:autoSpaceDN w:val="0"/>
        <w:adjustRightInd w:val="0"/>
        <w:ind w:firstLine="6490" w:firstLineChars="2950"/>
        <w:jc w:val="right"/>
        <w:rPr>
          <w:sz w:val="22"/>
        </w:rPr>
      </w:pPr>
      <w:r>
        <w:rPr>
          <w:rFonts w:hint="eastAsia"/>
          <w:sz w:val="22"/>
        </w:rPr>
        <w:t>單位：人民幣元</w:t>
      </w:r>
    </w:p>
    <w:tbl>
      <w:tblPr>
        <w:tblW w:w="10162" w:type="dxa"/>
        <w:tblInd w:w="-4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308"/>
        <w:gridCol w:w="1531"/>
        <w:gridCol w:w="1445"/>
        <w:gridCol w:w="1418"/>
        <w:gridCol w:w="1446"/>
        <w:gridCol w:w="1541"/>
        <w:gridCol w:w="1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40" w:hRule="atLeast"/>
        </w:trPr>
        <w:tc>
          <w:tcPr>
            <w:tcW w:w="1308" w:type="dxa"/>
            <w:vAlign w:val="center"/>
          </w:tcPr>
          <w:p>
            <w:pPr>
              <w:widowControl/>
              <w:jc w:val="left"/>
              <w:rPr>
                <w:b/>
                <w:kern w:val="0"/>
                <w:sz w:val="20"/>
              </w:rPr>
            </w:pPr>
            <w:r>
              <w:rPr>
                <w:rFonts w:hint="eastAsia"/>
                <w:b/>
                <w:kern w:val="0"/>
                <w:sz w:val="20"/>
              </w:rPr>
              <w:t>項目</w:t>
            </w:r>
          </w:p>
        </w:tc>
        <w:tc>
          <w:tcPr>
            <w:tcW w:w="1531" w:type="dxa"/>
            <w:vAlign w:val="bottom"/>
          </w:tcPr>
          <w:p>
            <w:pPr>
              <w:pStyle w:val="106"/>
              <w:pBdr>
                <w:bottom w:val="single" w:color="auto" w:sz="4" w:space="1"/>
              </w:pBdr>
              <w:spacing w:line="240" w:lineRule="exact"/>
              <w:jc w:val="center"/>
              <w:rPr>
                <w:rFonts w:ascii="Times New Roman" w:hAnsi="Times New Roman"/>
                <w:kern w:val="2"/>
                <w:sz w:val="22"/>
              </w:rPr>
            </w:pPr>
            <w:r>
              <w:rPr>
                <w:rFonts w:hint="eastAsia" w:ascii="Times New Roman" w:hAnsi="Times New Roman"/>
                <w:kern w:val="2"/>
                <w:sz w:val="22"/>
              </w:rPr>
              <w:t>化學原料藥</w:t>
            </w:r>
          </w:p>
        </w:tc>
        <w:tc>
          <w:tcPr>
            <w:tcW w:w="1445" w:type="dxa"/>
            <w:vAlign w:val="bottom"/>
          </w:tcPr>
          <w:p>
            <w:pPr>
              <w:pStyle w:val="106"/>
              <w:pBdr>
                <w:bottom w:val="single" w:color="auto" w:sz="4" w:space="1"/>
              </w:pBdr>
              <w:spacing w:line="240" w:lineRule="exact"/>
              <w:jc w:val="center"/>
              <w:rPr>
                <w:rFonts w:ascii="Times New Roman" w:hAnsi="Times New Roman"/>
                <w:kern w:val="2"/>
                <w:sz w:val="22"/>
              </w:rPr>
            </w:pPr>
            <w:r>
              <w:rPr>
                <w:rFonts w:hint="eastAsia" w:ascii="Times New Roman" w:hAnsi="Times New Roman"/>
                <w:kern w:val="2"/>
                <w:sz w:val="22"/>
              </w:rPr>
              <w:t>製劑</w:t>
            </w:r>
          </w:p>
        </w:tc>
        <w:tc>
          <w:tcPr>
            <w:tcW w:w="1418" w:type="dxa"/>
            <w:vAlign w:val="bottom"/>
          </w:tcPr>
          <w:p>
            <w:pPr>
              <w:pStyle w:val="106"/>
              <w:pBdr>
                <w:bottom w:val="single" w:color="auto" w:sz="4" w:space="1"/>
              </w:pBdr>
              <w:spacing w:line="240" w:lineRule="exact"/>
              <w:jc w:val="center"/>
              <w:rPr>
                <w:rFonts w:ascii="Times New Roman" w:hAnsi="Times New Roman"/>
                <w:kern w:val="2"/>
                <w:sz w:val="22"/>
                <w:lang w:eastAsia="zh-TW"/>
              </w:rPr>
            </w:pPr>
            <w:r>
              <w:rPr>
                <w:rFonts w:hint="eastAsia" w:ascii="Times New Roman" w:hAnsi="Times New Roman"/>
                <w:kern w:val="2"/>
                <w:sz w:val="22"/>
                <w:lang w:eastAsia="zh-TW"/>
              </w:rPr>
              <w:t>醫藥中間體及其他產品</w:t>
            </w:r>
          </w:p>
        </w:tc>
        <w:tc>
          <w:tcPr>
            <w:tcW w:w="1446" w:type="dxa"/>
            <w:vAlign w:val="bottom"/>
          </w:tcPr>
          <w:p>
            <w:pPr>
              <w:pStyle w:val="106"/>
              <w:pBdr>
                <w:bottom w:val="single" w:color="auto" w:sz="4" w:space="1"/>
              </w:pBdr>
              <w:spacing w:line="240" w:lineRule="exact"/>
              <w:jc w:val="center"/>
              <w:rPr>
                <w:rFonts w:ascii="Times New Roman" w:hAnsi="Times New Roman"/>
                <w:kern w:val="2"/>
                <w:sz w:val="22"/>
              </w:rPr>
            </w:pPr>
            <w:r>
              <w:rPr>
                <w:rFonts w:hint="eastAsia" w:ascii="Times New Roman" w:hAnsi="Times New Roman"/>
                <w:kern w:val="2"/>
                <w:sz w:val="22"/>
              </w:rPr>
              <w:t>未分配項目</w:t>
            </w:r>
          </w:p>
        </w:tc>
        <w:tc>
          <w:tcPr>
            <w:tcW w:w="1541" w:type="dxa"/>
            <w:vAlign w:val="bottom"/>
          </w:tcPr>
          <w:p>
            <w:pPr>
              <w:pStyle w:val="106"/>
              <w:pBdr>
                <w:bottom w:val="single" w:color="auto" w:sz="4" w:space="1"/>
              </w:pBdr>
              <w:spacing w:line="240" w:lineRule="exact"/>
              <w:jc w:val="center"/>
              <w:rPr>
                <w:rFonts w:ascii="Times New Roman" w:hAnsi="Times New Roman"/>
                <w:kern w:val="2"/>
                <w:sz w:val="22"/>
              </w:rPr>
            </w:pPr>
            <w:r>
              <w:rPr>
                <w:rFonts w:hint="eastAsia" w:ascii="Times New Roman" w:hAnsi="Times New Roman"/>
                <w:kern w:val="2"/>
                <w:sz w:val="22"/>
              </w:rPr>
              <w:t>抵銷</w:t>
            </w:r>
          </w:p>
        </w:tc>
        <w:tc>
          <w:tcPr>
            <w:tcW w:w="1473" w:type="dxa"/>
            <w:vAlign w:val="bottom"/>
          </w:tcPr>
          <w:p>
            <w:pPr>
              <w:pStyle w:val="106"/>
              <w:pBdr>
                <w:bottom w:val="single" w:color="auto" w:sz="4" w:space="1"/>
              </w:pBdr>
              <w:spacing w:line="240" w:lineRule="exact"/>
              <w:jc w:val="center"/>
              <w:rPr>
                <w:rFonts w:ascii="Times New Roman" w:hAnsi="Times New Roman"/>
                <w:kern w:val="2"/>
                <w:sz w:val="22"/>
              </w:rPr>
            </w:pPr>
            <w:r>
              <w:rPr>
                <w:rFonts w:hint="eastAsia" w:ascii="Times New Roman" w:hAnsi="Times New Roman"/>
                <w:kern w:val="2"/>
                <w:sz w:val="22"/>
              </w:rPr>
              <w:t>合計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77" w:hRule="atLeast"/>
        </w:trPr>
        <w:tc>
          <w:tcPr>
            <w:tcW w:w="1308" w:type="dxa"/>
            <w:vAlign w:val="center"/>
          </w:tcPr>
          <w:p>
            <w:pPr>
              <w:widowControl/>
              <w:rPr>
                <w:kern w:val="0"/>
                <w:sz w:val="18"/>
              </w:rPr>
            </w:pPr>
            <w:r>
              <w:rPr>
                <w:rFonts w:hint="eastAsia"/>
                <w:kern w:val="0"/>
                <w:sz w:val="18"/>
              </w:rPr>
              <w:t>營業收入</w:t>
            </w:r>
          </w:p>
        </w:tc>
        <w:tc>
          <w:tcPr>
            <w:tcW w:w="1531" w:type="dxa"/>
            <w:vAlign w:val="center"/>
          </w:tcPr>
          <w:p>
            <w:pPr>
              <w:jc w:val="right"/>
              <w:rPr>
                <w:sz w:val="17"/>
              </w:rPr>
            </w:pPr>
            <w:r>
              <w:rPr>
                <w:sz w:val="17"/>
              </w:rPr>
              <w:t>1,776,361,217.08</w:t>
            </w:r>
          </w:p>
        </w:tc>
        <w:tc>
          <w:tcPr>
            <w:tcW w:w="1445" w:type="dxa"/>
            <w:vAlign w:val="center"/>
          </w:tcPr>
          <w:p>
            <w:pPr>
              <w:jc w:val="right"/>
              <w:rPr>
                <w:sz w:val="17"/>
              </w:rPr>
            </w:pPr>
            <w:r>
              <w:rPr>
                <w:sz w:val="17"/>
              </w:rPr>
              <w:t>2,099,238,597.11</w:t>
            </w:r>
          </w:p>
        </w:tc>
        <w:tc>
          <w:tcPr>
            <w:tcW w:w="1418" w:type="dxa"/>
            <w:vAlign w:val="center"/>
          </w:tcPr>
          <w:p>
            <w:pPr>
              <w:jc w:val="right"/>
              <w:rPr>
                <w:sz w:val="17"/>
              </w:rPr>
            </w:pPr>
            <w:r>
              <w:rPr>
                <w:sz w:val="17"/>
              </w:rPr>
              <w:t>1,034,652,771.96</w:t>
            </w:r>
          </w:p>
        </w:tc>
        <w:tc>
          <w:tcPr>
            <w:tcW w:w="1446" w:type="dxa"/>
            <w:vAlign w:val="center"/>
          </w:tcPr>
          <w:p>
            <w:pPr>
              <w:jc w:val="right"/>
              <w:rPr>
                <w:sz w:val="17"/>
              </w:rPr>
            </w:pPr>
            <w:r>
              <w:rPr>
                <w:sz w:val="17"/>
              </w:rPr>
              <w:t>-</w:t>
            </w:r>
          </w:p>
        </w:tc>
        <w:tc>
          <w:tcPr>
            <w:tcW w:w="1541" w:type="dxa"/>
            <w:vAlign w:val="center"/>
          </w:tcPr>
          <w:p>
            <w:pPr>
              <w:jc w:val="right"/>
              <w:rPr>
                <w:sz w:val="17"/>
              </w:rPr>
            </w:pPr>
            <w:r>
              <w:rPr>
                <w:sz w:val="17"/>
              </w:rPr>
              <w:t>(895,289,520.41)</w:t>
            </w:r>
          </w:p>
        </w:tc>
        <w:tc>
          <w:tcPr>
            <w:tcW w:w="1473" w:type="dxa"/>
            <w:vAlign w:val="center"/>
          </w:tcPr>
          <w:p>
            <w:pPr>
              <w:jc w:val="right"/>
              <w:rPr>
                <w:sz w:val="17"/>
              </w:rPr>
            </w:pPr>
            <w:r>
              <w:rPr>
                <w:sz w:val="17"/>
              </w:rPr>
              <w:t>4,014,963,065.74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0" w:hRule="atLeast"/>
        </w:trPr>
        <w:tc>
          <w:tcPr>
            <w:tcW w:w="1308" w:type="dxa"/>
            <w:vAlign w:val="center"/>
          </w:tcPr>
          <w:p>
            <w:pPr>
              <w:widowControl/>
              <w:ind w:left="630" w:hanging="630" w:hangingChars="350"/>
              <w:rPr>
                <w:kern w:val="0"/>
                <w:sz w:val="18"/>
              </w:rPr>
            </w:pPr>
            <w:r>
              <w:rPr>
                <w:rFonts w:hint="eastAsia"/>
                <w:kern w:val="0"/>
                <w:sz w:val="18"/>
              </w:rPr>
              <w:t>其中：對外交易收入</w:t>
            </w:r>
          </w:p>
        </w:tc>
        <w:tc>
          <w:tcPr>
            <w:tcW w:w="1531" w:type="dxa"/>
            <w:vAlign w:val="center"/>
          </w:tcPr>
          <w:p>
            <w:pPr>
              <w:jc w:val="right"/>
              <w:rPr>
                <w:sz w:val="17"/>
              </w:rPr>
            </w:pPr>
            <w:r>
              <w:rPr>
                <w:sz w:val="17"/>
              </w:rPr>
              <w:t>1,770,296,038.38</w:t>
            </w:r>
          </w:p>
        </w:tc>
        <w:tc>
          <w:tcPr>
            <w:tcW w:w="1445" w:type="dxa"/>
            <w:vAlign w:val="center"/>
          </w:tcPr>
          <w:p>
            <w:pPr>
              <w:jc w:val="right"/>
              <w:rPr>
                <w:sz w:val="17"/>
              </w:rPr>
            </w:pPr>
            <w:r>
              <w:rPr>
                <w:sz w:val="17"/>
              </w:rPr>
              <w:t>1,747,610,869.90</w:t>
            </w:r>
          </w:p>
        </w:tc>
        <w:tc>
          <w:tcPr>
            <w:tcW w:w="1418" w:type="dxa"/>
            <w:vAlign w:val="center"/>
          </w:tcPr>
          <w:p>
            <w:pPr>
              <w:jc w:val="right"/>
              <w:rPr>
                <w:sz w:val="17"/>
              </w:rPr>
            </w:pPr>
            <w:r>
              <w:rPr>
                <w:sz w:val="17"/>
              </w:rPr>
              <w:t>497,056,157.46</w:t>
            </w:r>
          </w:p>
        </w:tc>
        <w:tc>
          <w:tcPr>
            <w:tcW w:w="1446" w:type="dxa"/>
            <w:vAlign w:val="center"/>
          </w:tcPr>
          <w:p>
            <w:pPr>
              <w:jc w:val="right"/>
              <w:rPr>
                <w:sz w:val="17"/>
              </w:rPr>
            </w:pPr>
            <w:r>
              <w:rPr>
                <w:sz w:val="17"/>
              </w:rPr>
              <w:t>-</w:t>
            </w:r>
          </w:p>
        </w:tc>
        <w:tc>
          <w:tcPr>
            <w:tcW w:w="1541" w:type="dxa"/>
            <w:vAlign w:val="center"/>
          </w:tcPr>
          <w:p>
            <w:pPr>
              <w:jc w:val="right"/>
              <w:rPr>
                <w:sz w:val="17"/>
              </w:rPr>
            </w:pPr>
            <w:r>
              <w:rPr>
                <w:sz w:val="17"/>
              </w:rPr>
              <w:t>-</w:t>
            </w:r>
          </w:p>
        </w:tc>
        <w:tc>
          <w:tcPr>
            <w:tcW w:w="1473" w:type="dxa"/>
            <w:vAlign w:val="center"/>
          </w:tcPr>
          <w:p>
            <w:pPr>
              <w:jc w:val="right"/>
              <w:rPr>
                <w:sz w:val="17"/>
              </w:rPr>
            </w:pPr>
            <w:r>
              <w:rPr>
                <w:sz w:val="17"/>
              </w:rPr>
              <w:t>4,014,963,065.74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0" w:hRule="atLeast"/>
        </w:trPr>
        <w:tc>
          <w:tcPr>
            <w:tcW w:w="1308" w:type="dxa"/>
            <w:vAlign w:val="center"/>
          </w:tcPr>
          <w:p>
            <w:pPr>
              <w:widowControl/>
              <w:ind w:left="451" w:leftChars="215"/>
              <w:rPr>
                <w:kern w:val="0"/>
                <w:sz w:val="18"/>
              </w:rPr>
            </w:pPr>
            <w:r>
              <w:rPr>
                <w:rFonts w:hint="eastAsia"/>
                <w:kern w:val="0"/>
                <w:sz w:val="18"/>
              </w:rPr>
              <w:t>分部間交易收入</w:t>
            </w:r>
          </w:p>
        </w:tc>
        <w:tc>
          <w:tcPr>
            <w:tcW w:w="1531" w:type="dxa"/>
            <w:vAlign w:val="center"/>
          </w:tcPr>
          <w:p>
            <w:pPr>
              <w:jc w:val="right"/>
              <w:rPr>
                <w:sz w:val="17"/>
              </w:rPr>
            </w:pPr>
            <w:r>
              <w:rPr>
                <w:sz w:val="17"/>
              </w:rPr>
              <w:t>6,065,178.70</w:t>
            </w:r>
          </w:p>
        </w:tc>
        <w:tc>
          <w:tcPr>
            <w:tcW w:w="1445" w:type="dxa"/>
            <w:vAlign w:val="center"/>
          </w:tcPr>
          <w:p>
            <w:pPr>
              <w:jc w:val="right"/>
              <w:rPr>
                <w:sz w:val="17"/>
              </w:rPr>
            </w:pPr>
            <w:r>
              <w:rPr>
                <w:sz w:val="17"/>
              </w:rPr>
              <w:t>351,627,727.21</w:t>
            </w:r>
          </w:p>
        </w:tc>
        <w:tc>
          <w:tcPr>
            <w:tcW w:w="1418" w:type="dxa"/>
            <w:vAlign w:val="center"/>
          </w:tcPr>
          <w:p>
            <w:pPr>
              <w:jc w:val="right"/>
              <w:rPr>
                <w:sz w:val="17"/>
              </w:rPr>
            </w:pPr>
            <w:r>
              <w:rPr>
                <w:sz w:val="17"/>
              </w:rPr>
              <w:t>537,596,614.50</w:t>
            </w:r>
          </w:p>
        </w:tc>
        <w:tc>
          <w:tcPr>
            <w:tcW w:w="1446" w:type="dxa"/>
            <w:vAlign w:val="center"/>
          </w:tcPr>
          <w:p>
            <w:pPr>
              <w:jc w:val="right"/>
              <w:rPr>
                <w:sz w:val="17"/>
              </w:rPr>
            </w:pPr>
            <w:r>
              <w:rPr>
                <w:sz w:val="17"/>
              </w:rPr>
              <w:t>-</w:t>
            </w:r>
          </w:p>
        </w:tc>
        <w:tc>
          <w:tcPr>
            <w:tcW w:w="1541" w:type="dxa"/>
            <w:vAlign w:val="center"/>
          </w:tcPr>
          <w:p>
            <w:pPr>
              <w:jc w:val="right"/>
              <w:rPr>
                <w:sz w:val="17"/>
              </w:rPr>
            </w:pPr>
            <w:r>
              <w:rPr>
                <w:sz w:val="17"/>
              </w:rPr>
              <w:t>(895,289,520.41)</w:t>
            </w:r>
          </w:p>
        </w:tc>
        <w:tc>
          <w:tcPr>
            <w:tcW w:w="1473" w:type="dxa"/>
            <w:vAlign w:val="center"/>
          </w:tcPr>
          <w:p>
            <w:pPr>
              <w:jc w:val="right"/>
              <w:rPr>
                <w:sz w:val="17"/>
              </w:rPr>
            </w:pPr>
            <w:r>
              <w:rPr>
                <w:sz w:val="17"/>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308" w:type="dxa"/>
            <w:vAlign w:val="center"/>
          </w:tcPr>
          <w:p>
            <w:pPr>
              <w:widowControl/>
              <w:rPr>
                <w:kern w:val="0"/>
                <w:sz w:val="18"/>
              </w:rPr>
            </w:pPr>
            <w:r>
              <w:rPr>
                <w:rFonts w:hint="eastAsia"/>
                <w:kern w:val="0"/>
                <w:sz w:val="18"/>
              </w:rPr>
              <w:t>營業成本</w:t>
            </w:r>
          </w:p>
        </w:tc>
        <w:tc>
          <w:tcPr>
            <w:tcW w:w="1531" w:type="dxa"/>
            <w:vAlign w:val="center"/>
          </w:tcPr>
          <w:p>
            <w:pPr>
              <w:jc w:val="right"/>
              <w:rPr>
                <w:sz w:val="17"/>
              </w:rPr>
            </w:pPr>
            <w:r>
              <w:rPr>
                <w:sz w:val="17"/>
              </w:rPr>
              <w:t>1,387,562,562.72</w:t>
            </w:r>
          </w:p>
        </w:tc>
        <w:tc>
          <w:tcPr>
            <w:tcW w:w="1445" w:type="dxa"/>
            <w:vAlign w:val="center"/>
          </w:tcPr>
          <w:p>
            <w:pPr>
              <w:jc w:val="right"/>
              <w:rPr>
                <w:sz w:val="17"/>
              </w:rPr>
            </w:pPr>
            <w:r>
              <w:rPr>
                <w:sz w:val="17"/>
              </w:rPr>
              <w:t>1,638,502,875.07</w:t>
            </w:r>
          </w:p>
        </w:tc>
        <w:tc>
          <w:tcPr>
            <w:tcW w:w="1418" w:type="dxa"/>
            <w:vAlign w:val="center"/>
          </w:tcPr>
          <w:p>
            <w:pPr>
              <w:jc w:val="right"/>
              <w:rPr>
                <w:sz w:val="17"/>
              </w:rPr>
            </w:pPr>
            <w:r>
              <w:rPr>
                <w:sz w:val="17"/>
              </w:rPr>
              <w:t>888,785,941.74</w:t>
            </w:r>
          </w:p>
        </w:tc>
        <w:tc>
          <w:tcPr>
            <w:tcW w:w="1446" w:type="dxa"/>
            <w:vAlign w:val="center"/>
          </w:tcPr>
          <w:p>
            <w:pPr>
              <w:jc w:val="right"/>
              <w:rPr>
                <w:sz w:val="17"/>
              </w:rPr>
            </w:pPr>
            <w:r>
              <w:rPr>
                <w:sz w:val="17"/>
              </w:rPr>
              <w:t>-</w:t>
            </w:r>
          </w:p>
        </w:tc>
        <w:tc>
          <w:tcPr>
            <w:tcW w:w="1541" w:type="dxa"/>
            <w:vAlign w:val="center"/>
          </w:tcPr>
          <w:p>
            <w:pPr>
              <w:jc w:val="right"/>
              <w:rPr>
                <w:sz w:val="17"/>
              </w:rPr>
            </w:pPr>
            <w:r>
              <w:rPr>
                <w:sz w:val="17"/>
              </w:rPr>
              <w:t>(901,266,755.14)</w:t>
            </w:r>
          </w:p>
        </w:tc>
        <w:tc>
          <w:tcPr>
            <w:tcW w:w="1473" w:type="dxa"/>
            <w:vAlign w:val="center"/>
          </w:tcPr>
          <w:p>
            <w:pPr>
              <w:jc w:val="right"/>
              <w:rPr>
                <w:sz w:val="17"/>
              </w:rPr>
            </w:pPr>
            <w:r>
              <w:rPr>
                <w:sz w:val="17"/>
              </w:rPr>
              <w:t>3,013,584,624.39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308" w:type="dxa"/>
            <w:vAlign w:val="center"/>
          </w:tcPr>
          <w:p>
            <w:pPr>
              <w:widowControl/>
              <w:rPr>
                <w:kern w:val="0"/>
                <w:sz w:val="18"/>
              </w:rPr>
            </w:pPr>
            <w:r>
              <w:rPr>
                <w:rFonts w:hint="eastAsia"/>
                <w:kern w:val="0"/>
                <w:sz w:val="18"/>
              </w:rPr>
              <w:t>成本抵消</w:t>
            </w:r>
          </w:p>
        </w:tc>
        <w:tc>
          <w:tcPr>
            <w:tcW w:w="1531" w:type="dxa"/>
            <w:vAlign w:val="center"/>
          </w:tcPr>
          <w:p>
            <w:pPr>
              <w:jc w:val="right"/>
              <w:rPr>
                <w:sz w:val="17"/>
              </w:rPr>
            </w:pPr>
            <w:r>
              <w:rPr>
                <w:sz w:val="17"/>
              </w:rPr>
              <w:t>78,411,280.96</w:t>
            </w:r>
          </w:p>
        </w:tc>
        <w:tc>
          <w:tcPr>
            <w:tcW w:w="1445" w:type="dxa"/>
            <w:vAlign w:val="center"/>
          </w:tcPr>
          <w:p>
            <w:pPr>
              <w:jc w:val="right"/>
              <w:rPr>
                <w:sz w:val="17"/>
              </w:rPr>
            </w:pPr>
            <w:r>
              <w:rPr>
                <w:sz w:val="17"/>
              </w:rPr>
              <w:t>357,597,834.57</w:t>
            </w:r>
          </w:p>
        </w:tc>
        <w:tc>
          <w:tcPr>
            <w:tcW w:w="1418" w:type="dxa"/>
            <w:vAlign w:val="center"/>
          </w:tcPr>
          <w:p>
            <w:pPr>
              <w:jc w:val="right"/>
              <w:rPr>
                <w:sz w:val="17"/>
              </w:rPr>
            </w:pPr>
            <w:r>
              <w:rPr>
                <w:sz w:val="17"/>
              </w:rPr>
              <w:t>465,257,639.61</w:t>
            </w:r>
          </w:p>
        </w:tc>
        <w:tc>
          <w:tcPr>
            <w:tcW w:w="1446" w:type="dxa"/>
            <w:vAlign w:val="center"/>
          </w:tcPr>
          <w:p>
            <w:pPr>
              <w:jc w:val="right"/>
              <w:rPr>
                <w:sz w:val="17"/>
              </w:rPr>
            </w:pPr>
            <w:r>
              <w:rPr>
                <w:sz w:val="17"/>
              </w:rPr>
              <w:t>-</w:t>
            </w:r>
          </w:p>
        </w:tc>
        <w:tc>
          <w:tcPr>
            <w:tcW w:w="1541" w:type="dxa"/>
            <w:vAlign w:val="center"/>
          </w:tcPr>
          <w:p>
            <w:pPr>
              <w:jc w:val="right"/>
              <w:rPr>
                <w:sz w:val="17"/>
              </w:rPr>
            </w:pPr>
            <w:r>
              <w:rPr>
                <w:sz w:val="17"/>
              </w:rPr>
              <w:t>(901,266,755.14)</w:t>
            </w:r>
          </w:p>
        </w:tc>
        <w:tc>
          <w:tcPr>
            <w:tcW w:w="1473" w:type="dxa"/>
            <w:vAlign w:val="center"/>
          </w:tcPr>
          <w:p>
            <w:pPr>
              <w:jc w:val="right"/>
              <w:rPr>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308" w:type="dxa"/>
            <w:vAlign w:val="center"/>
          </w:tcPr>
          <w:p>
            <w:pPr>
              <w:widowControl/>
              <w:rPr>
                <w:kern w:val="0"/>
                <w:sz w:val="18"/>
              </w:rPr>
            </w:pPr>
            <w:r>
              <w:rPr>
                <w:rFonts w:hint="eastAsia"/>
                <w:kern w:val="0"/>
                <w:sz w:val="18"/>
              </w:rPr>
              <w:t>期間費用</w:t>
            </w:r>
          </w:p>
        </w:tc>
        <w:tc>
          <w:tcPr>
            <w:tcW w:w="1531" w:type="dxa"/>
            <w:vAlign w:val="center"/>
          </w:tcPr>
          <w:p>
            <w:pPr>
              <w:jc w:val="right"/>
              <w:rPr>
                <w:sz w:val="17"/>
              </w:rPr>
            </w:pPr>
            <w:r>
              <w:rPr>
                <w:sz w:val="17"/>
              </w:rPr>
              <w:t>296,107,955.45</w:t>
            </w:r>
          </w:p>
        </w:tc>
        <w:tc>
          <w:tcPr>
            <w:tcW w:w="1445" w:type="dxa"/>
            <w:vAlign w:val="center"/>
          </w:tcPr>
          <w:p>
            <w:pPr>
              <w:jc w:val="right"/>
              <w:rPr>
                <w:sz w:val="17"/>
              </w:rPr>
            </w:pPr>
            <w:r>
              <w:rPr>
                <w:sz w:val="17"/>
              </w:rPr>
              <w:t>431,849,608.78</w:t>
            </w:r>
          </w:p>
        </w:tc>
        <w:tc>
          <w:tcPr>
            <w:tcW w:w="1418" w:type="dxa"/>
            <w:vAlign w:val="center"/>
          </w:tcPr>
          <w:p>
            <w:pPr>
              <w:jc w:val="right"/>
              <w:rPr>
                <w:sz w:val="17"/>
              </w:rPr>
            </w:pPr>
            <w:r>
              <w:rPr>
                <w:sz w:val="17"/>
              </w:rPr>
              <w:t>64,070,223.24</w:t>
            </w:r>
          </w:p>
        </w:tc>
        <w:tc>
          <w:tcPr>
            <w:tcW w:w="1446" w:type="dxa"/>
            <w:vAlign w:val="center"/>
          </w:tcPr>
          <w:p>
            <w:pPr>
              <w:jc w:val="right"/>
              <w:rPr>
                <w:sz w:val="17"/>
              </w:rPr>
            </w:pPr>
            <w:r>
              <w:rPr>
                <w:sz w:val="17"/>
              </w:rPr>
              <w:t>-</w:t>
            </w:r>
          </w:p>
        </w:tc>
        <w:tc>
          <w:tcPr>
            <w:tcW w:w="1541" w:type="dxa"/>
            <w:vAlign w:val="center"/>
          </w:tcPr>
          <w:p>
            <w:pPr>
              <w:jc w:val="right"/>
              <w:rPr>
                <w:sz w:val="17"/>
              </w:rPr>
            </w:pPr>
            <w:r>
              <w:rPr>
                <w:sz w:val="17"/>
              </w:rPr>
              <w:t>-</w:t>
            </w:r>
          </w:p>
        </w:tc>
        <w:tc>
          <w:tcPr>
            <w:tcW w:w="1473" w:type="dxa"/>
            <w:vAlign w:val="center"/>
          </w:tcPr>
          <w:p>
            <w:pPr>
              <w:jc w:val="right"/>
              <w:rPr>
                <w:sz w:val="17"/>
              </w:rPr>
            </w:pPr>
            <w:r>
              <w:rPr>
                <w:sz w:val="17"/>
              </w:rPr>
              <w:t>792,027,787.47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75" w:hRule="atLeast"/>
        </w:trPr>
        <w:tc>
          <w:tcPr>
            <w:tcW w:w="1308" w:type="dxa"/>
            <w:vAlign w:val="center"/>
          </w:tcPr>
          <w:p>
            <w:pPr>
              <w:widowControl/>
              <w:rPr>
                <w:kern w:val="0"/>
                <w:sz w:val="18"/>
                <w:lang w:eastAsia="zh-TW"/>
              </w:rPr>
            </w:pPr>
            <w:r>
              <w:rPr>
                <w:rFonts w:hint="eastAsia"/>
                <w:kern w:val="0"/>
                <w:sz w:val="18"/>
                <w:lang w:eastAsia="zh-TW"/>
              </w:rPr>
              <w:t>營業利潤總額（虧損總額）</w:t>
            </w:r>
          </w:p>
        </w:tc>
        <w:tc>
          <w:tcPr>
            <w:tcW w:w="1531" w:type="dxa"/>
            <w:vAlign w:val="center"/>
          </w:tcPr>
          <w:p>
            <w:pPr>
              <w:jc w:val="right"/>
              <w:rPr>
                <w:sz w:val="17"/>
              </w:rPr>
            </w:pPr>
            <w:r>
              <w:rPr>
                <w:sz w:val="17"/>
              </w:rPr>
              <w:t>-</w:t>
            </w:r>
          </w:p>
        </w:tc>
        <w:tc>
          <w:tcPr>
            <w:tcW w:w="1445" w:type="dxa"/>
            <w:vAlign w:val="center"/>
          </w:tcPr>
          <w:p>
            <w:pPr>
              <w:jc w:val="right"/>
              <w:rPr>
                <w:sz w:val="17"/>
              </w:rPr>
            </w:pPr>
            <w:r>
              <w:rPr>
                <w:sz w:val="17"/>
              </w:rPr>
              <w:t>-</w:t>
            </w:r>
          </w:p>
        </w:tc>
        <w:tc>
          <w:tcPr>
            <w:tcW w:w="1418" w:type="dxa"/>
            <w:vAlign w:val="center"/>
          </w:tcPr>
          <w:p>
            <w:pPr>
              <w:jc w:val="right"/>
              <w:rPr>
                <w:sz w:val="17"/>
              </w:rPr>
            </w:pPr>
            <w:r>
              <w:rPr>
                <w:sz w:val="17"/>
              </w:rPr>
              <w:t>-</w:t>
            </w:r>
          </w:p>
        </w:tc>
        <w:tc>
          <w:tcPr>
            <w:tcW w:w="1446" w:type="dxa"/>
            <w:vAlign w:val="center"/>
          </w:tcPr>
          <w:p>
            <w:pPr>
              <w:jc w:val="right"/>
              <w:rPr>
                <w:sz w:val="17"/>
              </w:rPr>
            </w:pPr>
            <w:r>
              <w:rPr>
                <w:rFonts w:hint="eastAsia"/>
                <w:sz w:val="17"/>
              </w:rPr>
              <w:t>168,137,629.73</w:t>
            </w:r>
          </w:p>
        </w:tc>
        <w:tc>
          <w:tcPr>
            <w:tcW w:w="1541" w:type="dxa"/>
            <w:vAlign w:val="center"/>
          </w:tcPr>
          <w:p>
            <w:pPr>
              <w:jc w:val="right"/>
              <w:rPr>
                <w:sz w:val="17"/>
              </w:rPr>
            </w:pPr>
            <w:r>
              <w:rPr>
                <w:rFonts w:hint="eastAsia"/>
                <w:sz w:val="17"/>
              </w:rPr>
              <w:t>(</w:t>
            </w:r>
            <w:r>
              <w:rPr>
                <w:sz w:val="17"/>
              </w:rPr>
              <w:t>15,720,200.28</w:t>
            </w:r>
            <w:r>
              <w:rPr>
                <w:rFonts w:hint="eastAsia"/>
                <w:sz w:val="17"/>
              </w:rPr>
              <w:t>)</w:t>
            </w:r>
          </w:p>
        </w:tc>
        <w:tc>
          <w:tcPr>
            <w:tcW w:w="1473" w:type="dxa"/>
            <w:vAlign w:val="center"/>
          </w:tcPr>
          <w:p>
            <w:pPr>
              <w:jc w:val="right"/>
              <w:rPr>
                <w:sz w:val="17"/>
              </w:rPr>
            </w:pPr>
            <w:r>
              <w:rPr>
                <w:rFonts w:hint="eastAsia"/>
                <w:sz w:val="17"/>
              </w:rPr>
              <w:t>152,417,429.45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308" w:type="dxa"/>
            <w:vAlign w:val="center"/>
          </w:tcPr>
          <w:p>
            <w:pPr>
              <w:widowControl/>
              <w:rPr>
                <w:kern w:val="0"/>
                <w:sz w:val="18"/>
              </w:rPr>
            </w:pPr>
            <w:r>
              <w:rPr>
                <w:rFonts w:hint="eastAsia"/>
                <w:kern w:val="0"/>
                <w:sz w:val="18"/>
              </w:rPr>
              <w:t>資產總額</w:t>
            </w:r>
          </w:p>
        </w:tc>
        <w:tc>
          <w:tcPr>
            <w:tcW w:w="1531" w:type="dxa"/>
            <w:vAlign w:val="center"/>
          </w:tcPr>
          <w:p>
            <w:pPr>
              <w:jc w:val="right"/>
              <w:rPr>
                <w:sz w:val="17"/>
              </w:rPr>
            </w:pPr>
            <w:r>
              <w:rPr>
                <w:sz w:val="17"/>
              </w:rPr>
              <w:t>2,607,631,975.84</w:t>
            </w:r>
          </w:p>
        </w:tc>
        <w:tc>
          <w:tcPr>
            <w:tcW w:w="1445" w:type="dxa"/>
            <w:vAlign w:val="center"/>
          </w:tcPr>
          <w:p>
            <w:pPr>
              <w:jc w:val="right"/>
              <w:rPr>
                <w:sz w:val="17"/>
              </w:rPr>
            </w:pPr>
            <w:r>
              <w:rPr>
                <w:sz w:val="17"/>
              </w:rPr>
              <w:t>1,214,770,333.03</w:t>
            </w:r>
          </w:p>
        </w:tc>
        <w:tc>
          <w:tcPr>
            <w:tcW w:w="1418" w:type="dxa"/>
            <w:vAlign w:val="center"/>
          </w:tcPr>
          <w:p>
            <w:pPr>
              <w:jc w:val="right"/>
              <w:rPr>
                <w:sz w:val="17"/>
              </w:rPr>
            </w:pPr>
            <w:r>
              <w:rPr>
                <w:sz w:val="17"/>
              </w:rPr>
              <w:t>967,382,126.46</w:t>
            </w:r>
          </w:p>
        </w:tc>
        <w:tc>
          <w:tcPr>
            <w:tcW w:w="1446" w:type="dxa"/>
            <w:vAlign w:val="center"/>
          </w:tcPr>
          <w:p>
            <w:pPr>
              <w:jc w:val="right"/>
              <w:rPr>
                <w:sz w:val="17"/>
              </w:rPr>
            </w:pPr>
            <w:r>
              <w:rPr>
                <w:sz w:val="17"/>
              </w:rPr>
              <w:t>1,167,544,323.60</w:t>
            </w:r>
          </w:p>
        </w:tc>
        <w:tc>
          <w:tcPr>
            <w:tcW w:w="1541" w:type="dxa"/>
            <w:vAlign w:val="center"/>
          </w:tcPr>
          <w:p>
            <w:pPr>
              <w:jc w:val="right"/>
              <w:rPr>
                <w:sz w:val="17"/>
              </w:rPr>
            </w:pPr>
            <w:r>
              <w:rPr>
                <w:sz w:val="17"/>
              </w:rPr>
              <w:t>(1,234,542,795.09)</w:t>
            </w:r>
          </w:p>
        </w:tc>
        <w:tc>
          <w:tcPr>
            <w:tcW w:w="1473" w:type="dxa"/>
            <w:vAlign w:val="center"/>
          </w:tcPr>
          <w:p>
            <w:pPr>
              <w:jc w:val="right"/>
              <w:rPr>
                <w:sz w:val="17"/>
              </w:rPr>
            </w:pPr>
            <w:r>
              <w:rPr>
                <w:sz w:val="17"/>
              </w:rPr>
              <w:t>4,722,785,963.84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308" w:type="dxa"/>
            <w:vAlign w:val="center"/>
          </w:tcPr>
          <w:p>
            <w:pPr>
              <w:widowControl/>
              <w:rPr>
                <w:kern w:val="0"/>
                <w:sz w:val="18"/>
              </w:rPr>
            </w:pPr>
            <w:r>
              <w:rPr>
                <w:rFonts w:hint="eastAsia"/>
                <w:kern w:val="0"/>
                <w:sz w:val="18"/>
              </w:rPr>
              <w:t>負債總額</w:t>
            </w:r>
          </w:p>
        </w:tc>
        <w:tc>
          <w:tcPr>
            <w:tcW w:w="1531" w:type="dxa"/>
            <w:vAlign w:val="center"/>
          </w:tcPr>
          <w:p>
            <w:pPr>
              <w:jc w:val="right"/>
              <w:rPr>
                <w:sz w:val="17"/>
              </w:rPr>
            </w:pPr>
            <w:r>
              <w:rPr>
                <w:sz w:val="17"/>
              </w:rPr>
              <w:t>829,972,561.96</w:t>
            </w:r>
          </w:p>
        </w:tc>
        <w:tc>
          <w:tcPr>
            <w:tcW w:w="1445" w:type="dxa"/>
            <w:vAlign w:val="center"/>
          </w:tcPr>
          <w:p>
            <w:pPr>
              <w:jc w:val="right"/>
              <w:rPr>
                <w:sz w:val="17"/>
              </w:rPr>
            </w:pPr>
            <w:r>
              <w:rPr>
                <w:sz w:val="17"/>
              </w:rPr>
              <w:t>635,287,773.13</w:t>
            </w:r>
          </w:p>
        </w:tc>
        <w:tc>
          <w:tcPr>
            <w:tcW w:w="1418" w:type="dxa"/>
            <w:vAlign w:val="center"/>
          </w:tcPr>
          <w:p>
            <w:pPr>
              <w:jc w:val="right"/>
              <w:rPr>
                <w:sz w:val="17"/>
              </w:rPr>
            </w:pPr>
            <w:r>
              <w:rPr>
                <w:sz w:val="17"/>
              </w:rPr>
              <w:t>490,101,717.17</w:t>
            </w:r>
          </w:p>
        </w:tc>
        <w:tc>
          <w:tcPr>
            <w:tcW w:w="1446" w:type="dxa"/>
            <w:vAlign w:val="center"/>
          </w:tcPr>
          <w:p>
            <w:pPr>
              <w:jc w:val="right"/>
              <w:rPr>
                <w:sz w:val="17"/>
              </w:rPr>
            </w:pPr>
            <w:r>
              <w:rPr>
                <w:sz w:val="17"/>
              </w:rPr>
              <w:t>1,437,357,321.32</w:t>
            </w:r>
          </w:p>
        </w:tc>
        <w:tc>
          <w:tcPr>
            <w:tcW w:w="1541" w:type="dxa"/>
            <w:vAlign w:val="center"/>
          </w:tcPr>
          <w:p>
            <w:pPr>
              <w:jc w:val="right"/>
              <w:rPr>
                <w:sz w:val="17"/>
              </w:rPr>
            </w:pPr>
            <w:r>
              <w:rPr>
                <w:sz w:val="17"/>
              </w:rPr>
              <w:t>(749,240,835.39)</w:t>
            </w:r>
          </w:p>
        </w:tc>
        <w:tc>
          <w:tcPr>
            <w:tcW w:w="1473" w:type="dxa"/>
            <w:vAlign w:val="center"/>
          </w:tcPr>
          <w:p>
            <w:pPr>
              <w:jc w:val="right"/>
              <w:rPr>
                <w:sz w:val="17"/>
              </w:rPr>
            </w:pPr>
            <w:r>
              <w:rPr>
                <w:sz w:val="17"/>
              </w:rPr>
              <w:t>2,643,478,538.19</w:t>
            </w:r>
          </w:p>
        </w:tc>
      </w:tr>
    </w:tbl>
    <w:p>
      <w:pPr>
        <w:autoSpaceDE w:val="0"/>
        <w:autoSpaceDN w:val="0"/>
        <w:adjustRightInd w:val="0"/>
        <w:rPr>
          <w:sz w:val="22"/>
        </w:rPr>
      </w:pPr>
    </w:p>
    <w:p>
      <w:pPr>
        <w:autoSpaceDE w:val="0"/>
        <w:autoSpaceDN w:val="0"/>
        <w:adjustRightInd w:val="0"/>
        <w:rPr>
          <w:sz w:val="22"/>
        </w:rPr>
      </w:pPr>
    </w:p>
    <w:p>
      <w:pPr>
        <w:numPr>
          <w:ilvl w:val="0"/>
          <w:numId w:val="4"/>
        </w:numPr>
        <w:spacing w:line="320" w:lineRule="exact"/>
        <w:rPr>
          <w:b/>
          <w:sz w:val="22"/>
        </w:rPr>
      </w:pPr>
      <w:r>
        <w:rPr>
          <w:rFonts w:hint="eastAsia"/>
          <w:b/>
          <w:sz w:val="22"/>
        </w:rPr>
        <w:t>應收賬款</w:t>
      </w:r>
    </w:p>
    <w:tbl>
      <w:tblPr>
        <w:tblW w:w="8536" w:type="dxa"/>
        <w:tblInd w:w="5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480"/>
        <w:gridCol w:w="2086"/>
        <w:gridCol w:w="19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480" w:type="dxa"/>
            <w:vAlign w:val="top"/>
          </w:tcPr>
          <w:p>
            <w:pPr>
              <w:spacing w:line="240" w:lineRule="exact"/>
              <w:rPr>
                <w:sz w:val="22"/>
              </w:rPr>
            </w:pPr>
          </w:p>
        </w:tc>
        <w:tc>
          <w:tcPr>
            <w:tcW w:w="2086" w:type="dxa"/>
            <w:vAlign w:val="top"/>
          </w:tcPr>
          <w:p>
            <w:pPr>
              <w:pBdr>
                <w:bottom w:val="single" w:color="auto" w:sz="4" w:space="0"/>
              </w:pBdr>
              <w:spacing w:line="240" w:lineRule="exact"/>
              <w:jc w:val="center"/>
              <w:rPr>
                <w:sz w:val="22"/>
              </w:rPr>
            </w:pPr>
            <w:r>
              <w:rPr>
                <w:rFonts w:hint="eastAsia"/>
                <w:sz w:val="22"/>
              </w:rPr>
              <w:t>二零一七年</w:t>
            </w:r>
          </w:p>
          <w:p>
            <w:pPr>
              <w:pBdr>
                <w:bottom w:val="single" w:color="auto" w:sz="4" w:space="0"/>
              </w:pBdr>
              <w:spacing w:line="240" w:lineRule="exact"/>
              <w:jc w:val="center"/>
              <w:rPr>
                <w:sz w:val="22"/>
              </w:rPr>
            </w:pPr>
            <w:r>
              <w:rPr>
                <w:rFonts w:hint="eastAsia"/>
                <w:sz w:val="22"/>
              </w:rPr>
              <w:t>十二月三十一日</w:t>
            </w:r>
          </w:p>
        </w:tc>
        <w:tc>
          <w:tcPr>
            <w:tcW w:w="1970" w:type="dxa"/>
            <w:vAlign w:val="top"/>
          </w:tcPr>
          <w:p>
            <w:pPr>
              <w:pBdr>
                <w:bottom w:val="single" w:color="auto" w:sz="4" w:space="0"/>
              </w:pBdr>
              <w:spacing w:line="240" w:lineRule="exact"/>
              <w:jc w:val="center"/>
              <w:rPr>
                <w:sz w:val="22"/>
              </w:rPr>
            </w:pPr>
            <w:r>
              <w:rPr>
                <w:rFonts w:hint="eastAsia"/>
                <w:sz w:val="22"/>
              </w:rPr>
              <w:t>二零一六年</w:t>
            </w:r>
          </w:p>
          <w:p>
            <w:pPr>
              <w:pBdr>
                <w:bottom w:val="single" w:color="auto" w:sz="4" w:space="0"/>
              </w:pBdr>
              <w:spacing w:line="240" w:lineRule="exact"/>
              <w:jc w:val="center"/>
              <w:rPr>
                <w:sz w:val="22"/>
                <w:u w:val="single"/>
              </w:rPr>
            </w:pPr>
            <w:r>
              <w:rPr>
                <w:rFonts w:hint="eastAsia"/>
                <w:sz w:val="22"/>
              </w:rPr>
              <w:t>十二月三十一日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90" w:hRule="atLeast"/>
        </w:trPr>
        <w:tc>
          <w:tcPr>
            <w:tcW w:w="4480" w:type="dxa"/>
            <w:vAlign w:val="top"/>
          </w:tcPr>
          <w:p>
            <w:pPr>
              <w:spacing w:line="240" w:lineRule="exact"/>
              <w:rPr>
                <w:sz w:val="22"/>
              </w:rPr>
            </w:pPr>
          </w:p>
        </w:tc>
        <w:tc>
          <w:tcPr>
            <w:tcW w:w="2086" w:type="dxa"/>
            <w:vAlign w:val="top"/>
          </w:tcPr>
          <w:p>
            <w:pPr>
              <w:spacing w:line="240" w:lineRule="exact"/>
              <w:jc w:val="center"/>
              <w:rPr>
                <w:sz w:val="22"/>
              </w:rPr>
            </w:pPr>
            <w:r>
              <w:rPr>
                <w:rFonts w:hint="eastAsia"/>
                <w:sz w:val="22"/>
              </w:rPr>
              <w:t>人民幣元</w:t>
            </w:r>
          </w:p>
        </w:tc>
        <w:tc>
          <w:tcPr>
            <w:tcW w:w="1970" w:type="dxa"/>
            <w:vAlign w:val="top"/>
          </w:tcPr>
          <w:p>
            <w:pPr>
              <w:spacing w:line="240" w:lineRule="exact"/>
              <w:jc w:val="center"/>
              <w:rPr>
                <w:sz w:val="22"/>
              </w:rPr>
            </w:pPr>
            <w:r>
              <w:rPr>
                <w:rFonts w:hint="eastAsia"/>
                <w:sz w:val="22"/>
              </w:rPr>
              <w:t>人民幣元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90" w:hRule="atLeast"/>
        </w:trPr>
        <w:tc>
          <w:tcPr>
            <w:tcW w:w="4480" w:type="dxa"/>
            <w:vAlign w:val="bottom"/>
          </w:tcPr>
          <w:p>
            <w:pPr>
              <w:spacing w:line="240" w:lineRule="exact"/>
              <w:rPr>
                <w:sz w:val="22"/>
              </w:rPr>
            </w:pPr>
            <w:r>
              <w:rPr>
                <w:rFonts w:hint="eastAsia"/>
                <w:sz w:val="22"/>
              </w:rPr>
              <w:t>應收賬款</w:t>
            </w:r>
          </w:p>
        </w:tc>
        <w:tc>
          <w:tcPr>
            <w:tcW w:w="2086" w:type="dxa"/>
            <w:vAlign w:val="bottom"/>
          </w:tcPr>
          <w:p>
            <w:pPr>
              <w:jc w:val="right"/>
              <w:rPr>
                <w:sz w:val="22"/>
              </w:rPr>
            </w:pPr>
            <w:r>
              <w:rPr>
                <w:sz w:val="22"/>
              </w:rPr>
              <w:t>370,143,508.49</w:t>
            </w:r>
          </w:p>
        </w:tc>
        <w:tc>
          <w:tcPr>
            <w:tcW w:w="1970" w:type="dxa"/>
            <w:vAlign w:val="bottom"/>
          </w:tcPr>
          <w:p>
            <w:pPr>
              <w:jc w:val="right"/>
              <w:rPr>
                <w:sz w:val="22"/>
              </w:rPr>
            </w:pPr>
            <w:r>
              <w:rPr>
                <w:sz w:val="22"/>
              </w:rPr>
              <w:t>400,769,602.29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90" w:hRule="atLeast"/>
        </w:trPr>
        <w:tc>
          <w:tcPr>
            <w:tcW w:w="4480" w:type="dxa"/>
            <w:vAlign w:val="bottom"/>
          </w:tcPr>
          <w:p>
            <w:pPr>
              <w:spacing w:line="240" w:lineRule="exact"/>
              <w:ind w:left="743" w:hanging="743"/>
              <w:rPr>
                <w:i/>
                <w:sz w:val="22"/>
                <w:lang w:eastAsia="zh-TW"/>
              </w:rPr>
            </w:pPr>
            <w:r>
              <w:rPr>
                <w:rFonts w:hint="eastAsia"/>
                <w:i/>
                <w:sz w:val="22"/>
                <w:lang w:eastAsia="zh-TW"/>
              </w:rPr>
              <w:t>減：應收賬款呆壞賬撥備</w:t>
            </w:r>
          </w:p>
        </w:tc>
        <w:tc>
          <w:tcPr>
            <w:tcW w:w="2086" w:type="dxa"/>
            <w:vAlign w:val="bottom"/>
          </w:tcPr>
          <w:p>
            <w:pPr>
              <w:pStyle w:val="29"/>
              <w:pBdr>
                <w:bottom w:val="single" w:color="auto" w:sz="4" w:space="1"/>
              </w:pBdr>
              <w:spacing w:line="230" w:lineRule="exact"/>
              <w:jc w:val="right"/>
              <w:rPr>
                <w:rFonts w:ascii="Times New Roman" w:hAnsi="Times New Roman"/>
                <w:kern w:val="2"/>
                <w:sz w:val="22"/>
              </w:rPr>
            </w:pPr>
            <w:r>
              <w:rPr>
                <w:rFonts w:ascii="Times New Roman" w:hAnsi="Times New Roman"/>
                <w:sz w:val="22"/>
              </w:rPr>
              <w:t>57,526,523.22</w:t>
            </w:r>
          </w:p>
        </w:tc>
        <w:tc>
          <w:tcPr>
            <w:tcW w:w="1970" w:type="dxa"/>
            <w:vAlign w:val="bottom"/>
          </w:tcPr>
          <w:p>
            <w:pPr>
              <w:pStyle w:val="29"/>
              <w:pBdr>
                <w:bottom w:val="single" w:color="auto" w:sz="4" w:space="1"/>
              </w:pBdr>
              <w:spacing w:line="230" w:lineRule="exact"/>
              <w:jc w:val="right"/>
              <w:rPr>
                <w:rFonts w:ascii="Times New Roman" w:hAnsi="Times New Roman"/>
                <w:kern w:val="2"/>
                <w:sz w:val="22"/>
              </w:rPr>
            </w:pPr>
            <w:r>
              <w:rPr>
                <w:rFonts w:ascii="Times New Roman" w:hAnsi="Times New Roman"/>
                <w:kern w:val="2"/>
                <w:sz w:val="22"/>
              </w:rPr>
              <w:t>57,377,517.25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90" w:hRule="atLeast"/>
        </w:trPr>
        <w:tc>
          <w:tcPr>
            <w:tcW w:w="4480" w:type="dxa"/>
            <w:vAlign w:val="bottom"/>
          </w:tcPr>
          <w:p>
            <w:pPr>
              <w:spacing w:line="240" w:lineRule="exact"/>
              <w:rPr>
                <w:b/>
                <w:sz w:val="22"/>
              </w:rPr>
            </w:pPr>
          </w:p>
        </w:tc>
        <w:tc>
          <w:tcPr>
            <w:tcW w:w="2086" w:type="dxa"/>
            <w:vAlign w:val="bottom"/>
          </w:tcPr>
          <w:p>
            <w:pPr>
              <w:pStyle w:val="29"/>
              <w:pBdr>
                <w:bottom w:val="double" w:color="auto" w:sz="4" w:space="1"/>
              </w:pBdr>
              <w:spacing w:line="240" w:lineRule="exact"/>
              <w:jc w:val="right"/>
              <w:rPr>
                <w:rFonts w:ascii="Times New Roman" w:hAnsi="Times New Roman"/>
                <w:b/>
                <w:kern w:val="2"/>
                <w:sz w:val="22"/>
              </w:rPr>
            </w:pPr>
            <w:r>
              <w:rPr>
                <w:rFonts w:ascii="Times New Roman" w:hAnsi="Times New Roman"/>
                <w:b/>
                <w:kern w:val="2"/>
                <w:sz w:val="22"/>
              </w:rPr>
              <w:t>312,616,985.27</w:t>
            </w:r>
          </w:p>
        </w:tc>
        <w:tc>
          <w:tcPr>
            <w:tcW w:w="1970" w:type="dxa"/>
            <w:vAlign w:val="bottom"/>
          </w:tcPr>
          <w:p>
            <w:pPr>
              <w:pStyle w:val="29"/>
              <w:pBdr>
                <w:bottom w:val="double" w:color="auto" w:sz="4" w:space="1"/>
              </w:pBdr>
              <w:spacing w:line="240" w:lineRule="exact"/>
              <w:jc w:val="right"/>
              <w:rPr>
                <w:rFonts w:ascii="Times New Roman" w:hAnsi="Times New Roman"/>
                <w:b/>
                <w:kern w:val="2"/>
                <w:sz w:val="22"/>
              </w:rPr>
            </w:pPr>
            <w:r>
              <w:rPr>
                <w:rFonts w:ascii="Times New Roman" w:hAnsi="Times New Roman"/>
                <w:b/>
                <w:kern w:val="2"/>
                <w:sz w:val="22"/>
              </w:rPr>
              <w:t>343,392,085.04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rPr>
        <w:tc>
          <w:tcPr>
            <w:tcW w:w="4480" w:type="dxa"/>
            <w:vAlign w:val="top"/>
          </w:tcPr>
          <w:p>
            <w:pPr>
              <w:spacing w:line="240" w:lineRule="exact"/>
              <w:rPr>
                <w:sz w:val="22"/>
              </w:rPr>
            </w:pPr>
          </w:p>
        </w:tc>
        <w:tc>
          <w:tcPr>
            <w:tcW w:w="2086" w:type="dxa"/>
            <w:vAlign w:val="top"/>
          </w:tcPr>
          <w:p>
            <w:pPr>
              <w:pStyle w:val="29"/>
              <w:spacing w:line="240" w:lineRule="exact"/>
              <w:jc w:val="right"/>
              <w:rPr>
                <w:rFonts w:ascii="Times New Roman" w:hAnsi="Times New Roman"/>
                <w:kern w:val="2"/>
                <w:sz w:val="22"/>
              </w:rPr>
            </w:pPr>
          </w:p>
        </w:tc>
        <w:tc>
          <w:tcPr>
            <w:tcW w:w="1970" w:type="dxa"/>
            <w:vAlign w:val="bottom"/>
          </w:tcPr>
          <w:p>
            <w:pPr>
              <w:pStyle w:val="29"/>
              <w:spacing w:line="230" w:lineRule="exact"/>
              <w:jc w:val="right"/>
              <w:rPr>
                <w:rFonts w:ascii="Times New Roman" w:hAnsi="Times New Roman"/>
                <w:kern w:val="2"/>
                <w:sz w:val="22"/>
              </w:rPr>
            </w:pPr>
          </w:p>
        </w:tc>
      </w:tr>
    </w:tbl>
    <w:p>
      <w:pPr>
        <w:autoSpaceDE w:val="0"/>
        <w:autoSpaceDN w:val="0"/>
        <w:adjustRightInd w:val="0"/>
        <w:ind w:left="447" w:leftChars="213"/>
        <w:rPr>
          <w:sz w:val="22"/>
        </w:rPr>
      </w:pPr>
    </w:p>
    <w:p>
      <w:pPr>
        <w:spacing w:line="320" w:lineRule="exact"/>
        <w:rPr>
          <w:sz w:val="22"/>
          <w:lang w:eastAsia="zh-TW"/>
        </w:rPr>
      </w:pPr>
      <w:r>
        <w:rPr>
          <w:rFonts w:hint="eastAsia"/>
          <w:sz w:val="22"/>
          <w:lang w:eastAsia="zh-TW"/>
        </w:rPr>
        <w:t>本集團部分銷售以預收款的方式進行，其餘銷售則授予一定期限的信用期。</w:t>
      </w:r>
    </w:p>
    <w:p>
      <w:pPr>
        <w:spacing w:line="320" w:lineRule="exact"/>
        <w:rPr>
          <w:sz w:val="22"/>
          <w:lang w:eastAsia="zh-TW"/>
        </w:rPr>
      </w:pPr>
    </w:p>
    <w:p>
      <w:pPr>
        <w:autoSpaceDE w:val="0"/>
        <w:autoSpaceDN w:val="0"/>
        <w:adjustRightInd w:val="0"/>
        <w:rPr>
          <w:b/>
          <w:sz w:val="22"/>
          <w:lang w:eastAsia="zh-TW"/>
        </w:rPr>
      </w:pPr>
      <w:bookmarkStart w:id="4" w:name="OLE_LINK19"/>
      <w:r>
        <w:rPr>
          <w:rFonts w:hint="eastAsia"/>
          <w:b/>
          <w:sz w:val="22"/>
          <w:lang w:eastAsia="zh-TW"/>
        </w:rPr>
        <w:t>應收賬款按其交易日期的賬齡分析如下：</w:t>
      </w:r>
    </w:p>
    <w:p>
      <w:pPr>
        <w:autoSpaceDE w:val="0"/>
        <w:autoSpaceDN w:val="0"/>
        <w:adjustRightInd w:val="0"/>
        <w:rPr>
          <w:b/>
          <w:sz w:val="22"/>
          <w:lang w:eastAsia="zh-TW"/>
        </w:rPr>
      </w:pPr>
    </w:p>
    <w:tbl>
      <w:tblPr>
        <w:tblW w:w="8499" w:type="dxa"/>
        <w:tblInd w:w="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507"/>
        <w:gridCol w:w="1996"/>
        <w:gridCol w:w="1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07" w:type="dxa"/>
            <w:vAlign w:val="top"/>
          </w:tcPr>
          <w:p>
            <w:pPr>
              <w:spacing w:line="240" w:lineRule="exact"/>
              <w:jc w:val="center"/>
              <w:rPr>
                <w:b/>
                <w:sz w:val="22"/>
                <w:lang w:eastAsia="zh-TW"/>
              </w:rPr>
            </w:pPr>
          </w:p>
          <w:p>
            <w:pPr>
              <w:spacing w:line="240" w:lineRule="exact"/>
              <w:jc w:val="center"/>
              <w:rPr>
                <w:sz w:val="22"/>
                <w:lang w:eastAsia="zh-TW"/>
              </w:rPr>
            </w:pPr>
          </w:p>
        </w:tc>
        <w:tc>
          <w:tcPr>
            <w:tcW w:w="1996" w:type="dxa"/>
            <w:vAlign w:val="top"/>
          </w:tcPr>
          <w:p>
            <w:pPr>
              <w:pBdr>
                <w:bottom w:val="single" w:color="auto" w:sz="4" w:space="0"/>
              </w:pBdr>
              <w:spacing w:line="240" w:lineRule="exact"/>
              <w:jc w:val="center"/>
              <w:rPr>
                <w:sz w:val="22"/>
              </w:rPr>
            </w:pPr>
            <w:r>
              <w:rPr>
                <w:rFonts w:hint="eastAsia"/>
                <w:sz w:val="22"/>
              </w:rPr>
              <w:t>二零一七年</w:t>
            </w:r>
          </w:p>
          <w:p>
            <w:pPr>
              <w:pBdr>
                <w:bottom w:val="single" w:color="auto" w:sz="4" w:space="0"/>
              </w:pBdr>
              <w:spacing w:line="240" w:lineRule="exact"/>
              <w:jc w:val="center"/>
              <w:rPr>
                <w:sz w:val="22"/>
              </w:rPr>
            </w:pPr>
            <w:r>
              <w:rPr>
                <w:rFonts w:hint="eastAsia"/>
                <w:sz w:val="22"/>
              </w:rPr>
              <w:t>十二月三十一日</w:t>
            </w:r>
          </w:p>
        </w:tc>
        <w:tc>
          <w:tcPr>
            <w:tcW w:w="1996" w:type="dxa"/>
            <w:vAlign w:val="top"/>
          </w:tcPr>
          <w:p>
            <w:pPr>
              <w:pBdr>
                <w:bottom w:val="single" w:color="auto" w:sz="4" w:space="0"/>
              </w:pBdr>
              <w:spacing w:line="240" w:lineRule="exact"/>
              <w:jc w:val="center"/>
              <w:rPr>
                <w:sz w:val="22"/>
              </w:rPr>
            </w:pPr>
            <w:r>
              <w:rPr>
                <w:rFonts w:hint="eastAsia"/>
                <w:sz w:val="22"/>
              </w:rPr>
              <w:t>二零一六年</w:t>
            </w:r>
          </w:p>
          <w:p>
            <w:pPr>
              <w:pBdr>
                <w:bottom w:val="single" w:color="auto" w:sz="4" w:space="0"/>
              </w:pBdr>
              <w:spacing w:line="240" w:lineRule="exact"/>
              <w:jc w:val="center"/>
              <w:rPr>
                <w:sz w:val="22"/>
                <w:u w:val="single"/>
              </w:rPr>
            </w:pPr>
            <w:r>
              <w:rPr>
                <w:rFonts w:hint="eastAsia"/>
                <w:sz w:val="22"/>
              </w:rPr>
              <w:t>十二月三十一日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07" w:type="dxa"/>
            <w:vAlign w:val="center"/>
          </w:tcPr>
          <w:p>
            <w:pPr>
              <w:rPr>
                <w:sz w:val="22"/>
              </w:rPr>
            </w:pPr>
          </w:p>
        </w:tc>
        <w:tc>
          <w:tcPr>
            <w:tcW w:w="1996" w:type="dxa"/>
            <w:vAlign w:val="top"/>
          </w:tcPr>
          <w:p>
            <w:pPr>
              <w:spacing w:line="240" w:lineRule="exact"/>
              <w:jc w:val="center"/>
              <w:rPr>
                <w:sz w:val="22"/>
              </w:rPr>
            </w:pPr>
            <w:r>
              <w:rPr>
                <w:rFonts w:hint="eastAsia"/>
                <w:sz w:val="22"/>
              </w:rPr>
              <w:t>人民幣元</w:t>
            </w:r>
          </w:p>
        </w:tc>
        <w:tc>
          <w:tcPr>
            <w:tcW w:w="1996" w:type="dxa"/>
            <w:vAlign w:val="top"/>
          </w:tcPr>
          <w:p>
            <w:pPr>
              <w:spacing w:line="240" w:lineRule="exact"/>
              <w:jc w:val="center"/>
              <w:rPr>
                <w:sz w:val="22"/>
              </w:rPr>
            </w:pPr>
            <w:r>
              <w:rPr>
                <w:rFonts w:hint="eastAsia"/>
                <w:sz w:val="22"/>
              </w:rPr>
              <w:t>人民幣元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4507" w:type="dxa"/>
            <w:vAlign w:val="bottom"/>
          </w:tcPr>
          <w:p>
            <w:pPr>
              <w:rPr>
                <w:sz w:val="22"/>
              </w:rPr>
            </w:pPr>
            <w:r>
              <w:rPr>
                <w:sz w:val="22"/>
              </w:rPr>
              <w:t>1</w:t>
            </w:r>
            <w:r>
              <w:rPr>
                <w:rFonts w:hint="eastAsia"/>
                <w:sz w:val="22"/>
              </w:rPr>
              <w:t>年以內</w:t>
            </w:r>
          </w:p>
        </w:tc>
        <w:tc>
          <w:tcPr>
            <w:tcW w:w="1996" w:type="dxa"/>
            <w:vAlign w:val="center"/>
          </w:tcPr>
          <w:p>
            <w:pPr>
              <w:jc w:val="right"/>
              <w:rPr>
                <w:sz w:val="22"/>
              </w:rPr>
            </w:pPr>
            <w:r>
              <w:rPr>
                <w:sz w:val="22"/>
              </w:rPr>
              <w:t xml:space="preserve">311,448,492.42 </w:t>
            </w:r>
          </w:p>
        </w:tc>
        <w:tc>
          <w:tcPr>
            <w:tcW w:w="1996" w:type="dxa"/>
            <w:vAlign w:val="center"/>
          </w:tcPr>
          <w:p>
            <w:pPr>
              <w:jc w:val="right"/>
              <w:rPr>
                <w:sz w:val="22"/>
              </w:rPr>
            </w:pPr>
            <w:r>
              <w:rPr>
                <w:sz w:val="22"/>
              </w:rPr>
              <w:t>342,764,839.78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4507" w:type="dxa"/>
            <w:vAlign w:val="bottom"/>
          </w:tcPr>
          <w:p>
            <w:pPr>
              <w:rPr>
                <w:sz w:val="22"/>
              </w:rPr>
            </w:pPr>
            <w:r>
              <w:rPr>
                <w:sz w:val="22"/>
              </w:rPr>
              <w:t>1</w:t>
            </w:r>
            <w:r>
              <w:rPr>
                <w:rFonts w:hint="eastAsia"/>
                <w:sz w:val="22"/>
              </w:rPr>
              <w:t>－</w:t>
            </w:r>
            <w:r>
              <w:rPr>
                <w:sz w:val="22"/>
              </w:rPr>
              <w:t>2</w:t>
            </w:r>
            <w:r>
              <w:rPr>
                <w:rFonts w:hint="eastAsia"/>
                <w:sz w:val="22"/>
              </w:rPr>
              <w:t>年</w:t>
            </w:r>
          </w:p>
        </w:tc>
        <w:tc>
          <w:tcPr>
            <w:tcW w:w="1996" w:type="dxa"/>
            <w:tcBorders>
              <w:bottom w:val="nil"/>
            </w:tcBorders>
            <w:vAlign w:val="center"/>
          </w:tcPr>
          <w:p>
            <w:pPr>
              <w:jc w:val="right"/>
              <w:rPr>
                <w:sz w:val="22"/>
              </w:rPr>
            </w:pPr>
            <w:r>
              <w:rPr>
                <w:sz w:val="22"/>
              </w:rPr>
              <w:t>1,102,467.60</w:t>
            </w:r>
          </w:p>
        </w:tc>
        <w:tc>
          <w:tcPr>
            <w:tcW w:w="1996" w:type="dxa"/>
            <w:tcBorders>
              <w:bottom w:val="nil"/>
            </w:tcBorders>
            <w:vAlign w:val="center"/>
          </w:tcPr>
          <w:p>
            <w:pPr>
              <w:jc w:val="right"/>
              <w:rPr>
                <w:sz w:val="22"/>
              </w:rPr>
            </w:pPr>
            <w:r>
              <w:rPr>
                <w:sz w:val="22"/>
              </w:rPr>
              <w:t>479,299.12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4507" w:type="dxa"/>
            <w:tcBorders>
              <w:right w:val="nil"/>
            </w:tcBorders>
            <w:vAlign w:val="bottom"/>
          </w:tcPr>
          <w:p>
            <w:pPr>
              <w:rPr>
                <w:sz w:val="22"/>
              </w:rPr>
            </w:pPr>
            <w:r>
              <w:rPr>
                <w:sz w:val="22"/>
              </w:rPr>
              <w:t>2</w:t>
            </w:r>
            <w:r>
              <w:rPr>
                <w:rFonts w:hint="eastAsia"/>
                <w:sz w:val="22"/>
              </w:rPr>
              <w:t>－</w:t>
            </w:r>
            <w:r>
              <w:rPr>
                <w:sz w:val="22"/>
              </w:rPr>
              <w:t>3</w:t>
            </w:r>
            <w:r>
              <w:rPr>
                <w:rFonts w:hint="eastAsia"/>
                <w:sz w:val="22"/>
              </w:rPr>
              <w:t>年</w:t>
            </w:r>
          </w:p>
        </w:tc>
        <w:tc>
          <w:tcPr>
            <w:tcW w:w="1996" w:type="dxa"/>
            <w:tcBorders>
              <w:top w:val="nil"/>
              <w:left w:val="nil"/>
              <w:bottom w:val="single" w:color="auto" w:sz="4" w:space="0"/>
              <w:right w:val="nil"/>
            </w:tcBorders>
            <w:vAlign w:val="center"/>
          </w:tcPr>
          <w:p>
            <w:pPr>
              <w:jc w:val="right"/>
              <w:rPr>
                <w:sz w:val="22"/>
              </w:rPr>
            </w:pPr>
            <w:r>
              <w:rPr>
                <w:sz w:val="22"/>
              </w:rPr>
              <w:t xml:space="preserve">66,025.25 </w:t>
            </w:r>
          </w:p>
        </w:tc>
        <w:tc>
          <w:tcPr>
            <w:tcW w:w="1996" w:type="dxa"/>
            <w:tcBorders>
              <w:top w:val="nil"/>
              <w:left w:val="nil"/>
              <w:bottom w:val="single" w:color="auto" w:sz="4" w:space="0"/>
              <w:right w:val="nil"/>
            </w:tcBorders>
            <w:vAlign w:val="center"/>
          </w:tcPr>
          <w:p>
            <w:pPr>
              <w:jc w:val="right"/>
              <w:rPr>
                <w:sz w:val="22"/>
              </w:rPr>
            </w:pPr>
            <w:r>
              <w:rPr>
                <w:sz w:val="22"/>
              </w:rPr>
              <w:t>147,946.14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97" w:hRule="atLeast"/>
        </w:trPr>
        <w:tc>
          <w:tcPr>
            <w:tcW w:w="4507" w:type="dxa"/>
            <w:vAlign w:val="bottom"/>
          </w:tcPr>
          <w:p>
            <w:pPr>
              <w:rPr>
                <w:b/>
                <w:sz w:val="22"/>
              </w:rPr>
            </w:pPr>
            <w:r>
              <w:rPr>
                <w:rFonts w:hint="eastAsia"/>
                <w:b/>
                <w:sz w:val="22"/>
              </w:rPr>
              <w:t>合計</w:t>
            </w:r>
          </w:p>
        </w:tc>
        <w:tc>
          <w:tcPr>
            <w:tcW w:w="1996" w:type="dxa"/>
            <w:tcBorders>
              <w:top w:val="single" w:color="auto" w:sz="4" w:space="0"/>
            </w:tcBorders>
            <w:vAlign w:val="bottom"/>
          </w:tcPr>
          <w:p>
            <w:pPr>
              <w:pStyle w:val="29"/>
              <w:pBdr>
                <w:bottom w:val="double" w:color="auto" w:sz="4" w:space="1"/>
              </w:pBdr>
              <w:spacing w:line="240" w:lineRule="exact"/>
              <w:jc w:val="right"/>
              <w:rPr>
                <w:rFonts w:ascii="Times New Roman" w:hAnsi="Times New Roman"/>
                <w:b/>
                <w:kern w:val="2"/>
                <w:sz w:val="22"/>
              </w:rPr>
            </w:pPr>
            <w:r>
              <w:rPr>
                <w:rFonts w:ascii="Times New Roman" w:hAnsi="Times New Roman"/>
                <w:b/>
                <w:kern w:val="2"/>
                <w:sz w:val="22"/>
              </w:rPr>
              <w:t>312,616,985.27</w:t>
            </w:r>
          </w:p>
        </w:tc>
        <w:tc>
          <w:tcPr>
            <w:tcW w:w="1996" w:type="dxa"/>
            <w:tcBorders>
              <w:top w:val="single" w:color="auto" w:sz="4" w:space="0"/>
            </w:tcBorders>
            <w:vAlign w:val="bottom"/>
          </w:tcPr>
          <w:p>
            <w:pPr>
              <w:pStyle w:val="29"/>
              <w:pBdr>
                <w:bottom w:val="double" w:color="auto" w:sz="4" w:space="1"/>
              </w:pBdr>
              <w:spacing w:line="240" w:lineRule="exact"/>
              <w:jc w:val="right"/>
              <w:rPr>
                <w:rFonts w:ascii="Times New Roman" w:hAnsi="Times New Roman"/>
                <w:b/>
                <w:kern w:val="2"/>
                <w:sz w:val="22"/>
              </w:rPr>
            </w:pPr>
            <w:r>
              <w:rPr>
                <w:rFonts w:ascii="Times New Roman" w:hAnsi="Times New Roman"/>
                <w:b/>
                <w:kern w:val="2"/>
                <w:sz w:val="22"/>
              </w:rPr>
              <w:t>343,392,085.04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rPr>
        <w:tc>
          <w:tcPr>
            <w:tcW w:w="4507" w:type="dxa"/>
            <w:vAlign w:val="center"/>
          </w:tcPr>
          <w:p/>
        </w:tc>
        <w:tc>
          <w:tcPr>
            <w:tcW w:w="1996" w:type="dxa"/>
            <w:vAlign w:val="bottom"/>
          </w:tcPr>
          <w:p/>
        </w:tc>
        <w:tc>
          <w:tcPr>
            <w:tcW w:w="1996" w:type="dxa"/>
            <w:vAlign w:val="center"/>
          </w:tcPr>
          <w:p>
            <w:pPr>
              <w:wordWrap w:val="0"/>
              <w:jc w:val="right"/>
              <w:rPr>
                <w:sz w:val="22"/>
                <w:u w:val="double"/>
              </w:rPr>
            </w:pPr>
          </w:p>
        </w:tc>
      </w:tr>
      <w:bookmarkEnd w:id="4"/>
    </w:tbl>
    <w:p>
      <w:pPr>
        <w:pStyle w:val="136"/>
        <w:widowControl/>
        <w:tabs>
          <w:tab w:val="left" w:pos="800"/>
        </w:tabs>
        <w:spacing w:beforeLines="100" w:afterLines="50" w:line="240" w:lineRule="exact"/>
        <w:ind w:firstLine="0" w:firstLineChars="0"/>
        <w:rPr>
          <w:rFonts w:ascii="宋体" w:hAnsi="宋体" w:cs="宋体"/>
          <w:sz w:val="22"/>
          <w:szCs w:val="22"/>
          <w:lang w:eastAsia="zh-TW"/>
        </w:rPr>
      </w:pPr>
      <w:r>
        <w:rPr>
          <w:rFonts w:hint="eastAsia" w:ascii="宋体" w:hAnsi="宋体" w:cs="宋体"/>
          <w:b/>
          <w:bCs/>
          <w:sz w:val="22"/>
          <w:szCs w:val="22"/>
          <w:lang w:eastAsia="zh-TW"/>
        </w:rPr>
        <w:t>已逾期而未計提任何壞賬準備的應收賬款賬齡分析如下：</w:t>
      </w:r>
    </w:p>
    <w:tbl>
      <w:tblPr>
        <w:tblW w:w="8880" w:type="dxa"/>
        <w:jc w:val="center"/>
        <w:tblInd w:w="54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920"/>
        <w:gridCol w:w="1995"/>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03" w:hRule="exact"/>
          <w:tblHeader/>
          <w:jc w:val="center"/>
        </w:trPr>
        <w:tc>
          <w:tcPr>
            <w:tcW w:w="4920" w:type="dxa"/>
            <w:vMerge w:val="restart"/>
            <w:vAlign w:val="center"/>
          </w:tcPr>
          <w:p>
            <w:pPr>
              <w:spacing w:line="240" w:lineRule="exact"/>
              <w:jc w:val="left"/>
              <w:rPr>
                <w:rFonts w:ascii="宋体" w:hAnsi="宋体"/>
                <w:b/>
                <w:sz w:val="22"/>
                <w:szCs w:val="22"/>
                <w:lang w:eastAsia="zh-TW"/>
              </w:rPr>
            </w:pPr>
          </w:p>
        </w:tc>
        <w:tc>
          <w:tcPr>
            <w:tcW w:w="1995" w:type="dxa"/>
            <w:vAlign w:val="top"/>
          </w:tcPr>
          <w:p>
            <w:pPr>
              <w:spacing w:line="240" w:lineRule="exact"/>
              <w:jc w:val="center"/>
              <w:rPr>
                <w:rFonts w:ascii="PMingLiU" w:hAnsi="PMingLiU"/>
                <w:sz w:val="22"/>
                <w:szCs w:val="22"/>
                <w:lang w:eastAsia="zh-TW"/>
              </w:rPr>
            </w:pPr>
            <w:r>
              <w:rPr>
                <w:rFonts w:hint="eastAsia" w:ascii="PMingLiU" w:hAnsi="PMingLiU"/>
                <w:sz w:val="22"/>
                <w:szCs w:val="22"/>
                <w:lang w:eastAsia="zh-TW"/>
              </w:rPr>
              <w:t>二零一</w:t>
            </w:r>
            <w:r>
              <w:rPr>
                <w:rFonts w:hint="eastAsia" w:ascii="PMingLiU" w:hAnsi="PMingLiU"/>
                <w:sz w:val="22"/>
                <w:szCs w:val="22"/>
              </w:rPr>
              <w:t>七</w:t>
            </w:r>
            <w:r>
              <w:rPr>
                <w:rFonts w:hint="eastAsia" w:ascii="PMingLiU" w:hAnsi="PMingLiU"/>
                <w:sz w:val="22"/>
                <w:szCs w:val="22"/>
                <w:lang w:eastAsia="zh-TW"/>
              </w:rPr>
              <w:t>年</w:t>
            </w:r>
          </w:p>
          <w:p>
            <w:pPr>
              <w:spacing w:line="240" w:lineRule="exact"/>
              <w:jc w:val="center"/>
              <w:rPr>
                <w:rFonts w:ascii="PMingLiU" w:hAnsi="PMingLiU"/>
                <w:sz w:val="22"/>
                <w:szCs w:val="22"/>
                <w:lang w:eastAsia="zh-TW"/>
              </w:rPr>
            </w:pPr>
            <w:r>
              <w:rPr>
                <w:rFonts w:hint="eastAsia" w:ascii="PMingLiU" w:hAnsi="PMingLiU"/>
                <w:sz w:val="22"/>
                <w:szCs w:val="22"/>
                <w:lang w:eastAsia="zh-TW"/>
              </w:rPr>
              <w:t>十二月三十一日</w:t>
            </w:r>
          </w:p>
        </w:tc>
        <w:tc>
          <w:tcPr>
            <w:tcW w:w="1965" w:type="dxa"/>
            <w:vAlign w:val="top"/>
          </w:tcPr>
          <w:p>
            <w:pPr>
              <w:spacing w:line="240" w:lineRule="exact"/>
              <w:jc w:val="center"/>
              <w:rPr>
                <w:rFonts w:ascii="PMingLiU" w:hAnsi="PMingLiU"/>
                <w:sz w:val="22"/>
                <w:szCs w:val="22"/>
                <w:lang w:eastAsia="zh-TW"/>
              </w:rPr>
            </w:pPr>
            <w:r>
              <w:rPr>
                <w:rFonts w:hint="eastAsia" w:ascii="PMingLiU" w:hAnsi="PMingLiU"/>
                <w:sz w:val="22"/>
                <w:szCs w:val="22"/>
                <w:lang w:eastAsia="zh-TW"/>
              </w:rPr>
              <w:t>二零一</w:t>
            </w:r>
            <w:r>
              <w:rPr>
                <w:rFonts w:hint="eastAsia" w:ascii="PMingLiU" w:hAnsi="PMingLiU"/>
                <w:sz w:val="22"/>
                <w:szCs w:val="22"/>
              </w:rPr>
              <w:t>六</w:t>
            </w:r>
            <w:r>
              <w:rPr>
                <w:rFonts w:hint="eastAsia" w:ascii="PMingLiU" w:hAnsi="PMingLiU"/>
                <w:sz w:val="22"/>
                <w:szCs w:val="22"/>
                <w:lang w:eastAsia="zh-TW"/>
              </w:rPr>
              <w:t>年</w:t>
            </w:r>
          </w:p>
          <w:p>
            <w:pPr>
              <w:spacing w:line="240" w:lineRule="exact"/>
              <w:jc w:val="center"/>
              <w:rPr>
                <w:rFonts w:ascii="PMingLiU" w:hAnsi="PMingLiU"/>
                <w:sz w:val="22"/>
                <w:szCs w:val="22"/>
                <w:lang w:eastAsia="zh-TW"/>
              </w:rPr>
            </w:pPr>
            <w:r>
              <w:rPr>
                <w:rFonts w:hint="eastAsia" w:ascii="PMingLiU" w:hAnsi="PMingLiU"/>
                <w:sz w:val="22"/>
                <w:szCs w:val="22"/>
                <w:lang w:eastAsia="zh-TW"/>
              </w:rPr>
              <w:t>十二月三十一日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84" w:hRule="exact"/>
          <w:jc w:val="center"/>
        </w:trPr>
        <w:tc>
          <w:tcPr>
            <w:tcW w:w="4920" w:type="dxa"/>
            <w:vMerge w:val="continue"/>
            <w:vAlign w:val="center"/>
          </w:tcPr>
          <w:p>
            <w:pPr>
              <w:spacing w:line="240" w:lineRule="exact"/>
              <w:jc w:val="left"/>
              <w:rPr>
                <w:rFonts w:ascii="宋体" w:hAnsi="宋体"/>
                <w:bCs/>
                <w:sz w:val="22"/>
                <w:szCs w:val="22"/>
              </w:rPr>
            </w:pPr>
          </w:p>
        </w:tc>
        <w:tc>
          <w:tcPr>
            <w:tcW w:w="1995" w:type="dxa"/>
            <w:vAlign w:val="top"/>
          </w:tcPr>
          <w:p>
            <w:pPr>
              <w:spacing w:line="240" w:lineRule="exact"/>
              <w:jc w:val="center"/>
              <w:rPr>
                <w:rFonts w:ascii="PMingLiU" w:hAnsi="PMingLiU"/>
                <w:sz w:val="22"/>
                <w:szCs w:val="22"/>
              </w:rPr>
            </w:pPr>
            <w:r>
              <w:rPr>
                <w:rFonts w:hint="eastAsia" w:ascii="PMingLiU" w:hAnsi="PMingLiU"/>
                <w:sz w:val="22"/>
                <w:szCs w:val="22"/>
                <w:lang w:eastAsia="zh-TW"/>
              </w:rPr>
              <w:t>人民幣元</w:t>
            </w:r>
          </w:p>
        </w:tc>
        <w:tc>
          <w:tcPr>
            <w:tcW w:w="1965" w:type="dxa"/>
            <w:vAlign w:val="top"/>
          </w:tcPr>
          <w:p>
            <w:pPr>
              <w:spacing w:line="240" w:lineRule="exact"/>
              <w:jc w:val="center"/>
              <w:rPr>
                <w:rFonts w:ascii="PMingLiU" w:hAnsi="PMingLiU"/>
                <w:sz w:val="22"/>
                <w:szCs w:val="22"/>
              </w:rPr>
            </w:pPr>
            <w:r>
              <w:rPr>
                <w:rFonts w:hint="eastAsia" w:ascii="PMingLiU" w:hAnsi="PMingLiU"/>
                <w:sz w:val="22"/>
                <w:szCs w:val="22"/>
                <w:lang w:eastAsia="zh-TW"/>
              </w:rPr>
              <w:t>人民幣元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84" w:hRule="exact"/>
          <w:jc w:val="center"/>
        </w:trPr>
        <w:tc>
          <w:tcPr>
            <w:tcW w:w="4920" w:type="dxa"/>
            <w:vAlign w:val="center"/>
          </w:tcPr>
          <w:p>
            <w:pPr>
              <w:spacing w:line="240" w:lineRule="exact"/>
              <w:jc w:val="left"/>
              <w:rPr>
                <w:rFonts w:ascii="宋体" w:hAnsi="宋体"/>
                <w:bCs/>
                <w:sz w:val="22"/>
                <w:szCs w:val="22"/>
                <w:lang w:eastAsia="zh-TW"/>
              </w:rPr>
            </w:pPr>
            <w:r>
              <w:rPr>
                <w:rFonts w:hint="eastAsia" w:ascii="宋体" w:hAnsi="宋体"/>
                <w:bCs/>
                <w:sz w:val="22"/>
                <w:szCs w:val="22"/>
              </w:rPr>
              <w:t>1年以内</w:t>
            </w:r>
          </w:p>
        </w:tc>
        <w:tc>
          <w:tcPr>
            <w:tcW w:w="1995" w:type="dxa"/>
            <w:vAlign w:val="center"/>
          </w:tcPr>
          <w:p>
            <w:pPr>
              <w:jc w:val="right"/>
              <w:rPr>
                <w:rFonts w:ascii="PMingLiU" w:hAnsi="PMingLiU"/>
                <w:sz w:val="22"/>
                <w:szCs w:val="22"/>
                <w:lang w:eastAsia="zh-TW"/>
              </w:rPr>
            </w:pPr>
            <w:r>
              <w:rPr>
                <w:rFonts w:hint="eastAsia" w:ascii="PMingLiU" w:hAnsi="PMingLiU"/>
                <w:sz w:val="22"/>
                <w:szCs w:val="22"/>
              </w:rPr>
              <w:t>5,986,979.13</w:t>
            </w:r>
          </w:p>
        </w:tc>
        <w:tc>
          <w:tcPr>
            <w:tcW w:w="1965" w:type="dxa"/>
            <w:vAlign w:val="center"/>
          </w:tcPr>
          <w:p>
            <w:pPr>
              <w:jc w:val="right"/>
              <w:rPr>
                <w:rFonts w:ascii="PMingLiU" w:hAnsi="PMingLiU"/>
                <w:sz w:val="22"/>
                <w:szCs w:val="22"/>
                <w:lang w:eastAsia="zh-TW"/>
              </w:rPr>
            </w:pPr>
            <w:r>
              <w:rPr>
                <w:rFonts w:hint="eastAsia" w:ascii="PMingLiU" w:hAnsi="PMingLiU"/>
                <w:sz w:val="22"/>
                <w:szCs w:val="22"/>
              </w:rPr>
              <w:t>3,092,633.86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84" w:hRule="exact"/>
          <w:jc w:val="center"/>
        </w:trPr>
        <w:tc>
          <w:tcPr>
            <w:tcW w:w="4920" w:type="dxa"/>
            <w:vAlign w:val="center"/>
          </w:tcPr>
          <w:p>
            <w:pPr>
              <w:spacing w:line="240" w:lineRule="exact"/>
              <w:jc w:val="left"/>
              <w:rPr>
                <w:rFonts w:ascii="宋体" w:hAnsi="宋体"/>
                <w:bCs/>
                <w:sz w:val="22"/>
                <w:szCs w:val="22"/>
                <w:lang w:eastAsia="zh-TW"/>
              </w:rPr>
            </w:pPr>
            <w:r>
              <w:rPr>
                <w:rFonts w:hint="eastAsia" w:ascii="宋体" w:hAnsi="宋体"/>
                <w:bCs/>
                <w:sz w:val="22"/>
                <w:szCs w:val="22"/>
              </w:rPr>
              <w:t>1-2年</w:t>
            </w:r>
          </w:p>
        </w:tc>
        <w:tc>
          <w:tcPr>
            <w:tcW w:w="1995" w:type="dxa"/>
            <w:vAlign w:val="center"/>
          </w:tcPr>
          <w:p>
            <w:pPr>
              <w:jc w:val="right"/>
              <w:rPr>
                <w:rFonts w:ascii="PMingLiU" w:hAnsi="PMingLiU"/>
                <w:sz w:val="22"/>
                <w:szCs w:val="22"/>
                <w:lang w:eastAsia="zh-TW"/>
              </w:rPr>
            </w:pPr>
            <w:r>
              <w:rPr>
                <w:rFonts w:hint="eastAsia" w:ascii="PMingLiU" w:hAnsi="PMingLiU"/>
                <w:sz w:val="22"/>
                <w:szCs w:val="22"/>
              </w:rPr>
              <w:t>79,392.38</w:t>
            </w:r>
          </w:p>
        </w:tc>
        <w:tc>
          <w:tcPr>
            <w:tcW w:w="1965" w:type="dxa"/>
            <w:vAlign w:val="center"/>
          </w:tcPr>
          <w:p>
            <w:pPr>
              <w:jc w:val="right"/>
              <w:rPr>
                <w:rFonts w:ascii="PMingLiU" w:hAnsi="PMingLiU"/>
                <w:sz w:val="22"/>
                <w:szCs w:val="22"/>
                <w:lang w:eastAsia="zh-TW"/>
              </w:rPr>
            </w:pPr>
            <w:r>
              <w:rPr>
                <w:rFonts w:hint="eastAsia" w:ascii="PMingLiU" w:hAnsi="PMingLiU"/>
                <w:sz w:val="22"/>
                <w:szCs w:val="22"/>
              </w:rPr>
              <w:t>507,150.99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84" w:hRule="exact"/>
          <w:jc w:val="center"/>
        </w:trPr>
        <w:tc>
          <w:tcPr>
            <w:tcW w:w="4920" w:type="dxa"/>
            <w:vAlign w:val="center"/>
          </w:tcPr>
          <w:p>
            <w:pPr>
              <w:spacing w:line="240" w:lineRule="exact"/>
              <w:jc w:val="left"/>
              <w:rPr>
                <w:rFonts w:ascii="宋体" w:hAnsi="宋体"/>
                <w:bCs/>
                <w:sz w:val="22"/>
                <w:szCs w:val="22"/>
                <w:lang w:eastAsia="zh-TW"/>
              </w:rPr>
            </w:pPr>
            <w:r>
              <w:rPr>
                <w:rFonts w:hint="eastAsia" w:ascii="宋体" w:hAnsi="宋体"/>
                <w:bCs/>
                <w:sz w:val="22"/>
                <w:szCs w:val="22"/>
              </w:rPr>
              <w:t>2-3年</w:t>
            </w:r>
          </w:p>
        </w:tc>
        <w:tc>
          <w:tcPr>
            <w:tcW w:w="1995" w:type="dxa"/>
            <w:vAlign w:val="center"/>
          </w:tcPr>
          <w:p>
            <w:pPr>
              <w:jc w:val="right"/>
              <w:rPr>
                <w:rFonts w:ascii="PMingLiU" w:hAnsi="PMingLiU"/>
                <w:sz w:val="22"/>
                <w:szCs w:val="22"/>
                <w:lang w:eastAsia="zh-TW"/>
              </w:rPr>
            </w:pPr>
            <w:r>
              <w:rPr>
                <w:rFonts w:hint="eastAsia" w:ascii="PMingLiU" w:hAnsi="PMingLiU"/>
                <w:sz w:val="22"/>
                <w:szCs w:val="22"/>
              </w:rPr>
              <w:t>66,025.25</w:t>
            </w:r>
          </w:p>
        </w:tc>
        <w:tc>
          <w:tcPr>
            <w:tcW w:w="1965" w:type="dxa"/>
            <w:vAlign w:val="center"/>
          </w:tcPr>
          <w:p>
            <w:pPr>
              <w:jc w:val="right"/>
              <w:rPr>
                <w:rFonts w:ascii="PMingLiU" w:hAnsi="PMingLiU"/>
                <w:sz w:val="22"/>
                <w:szCs w:val="22"/>
                <w:lang w:eastAsia="zh-TW"/>
              </w:rPr>
            </w:pPr>
            <w:r>
              <w:rPr>
                <w:rFonts w:hint="eastAsia" w:ascii="PMingLiU" w:hAnsi="PMingLiU"/>
                <w:sz w:val="22"/>
                <w:szCs w:val="22"/>
              </w:rPr>
              <w:t>102,060.44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1" w:hRule="exact"/>
          <w:jc w:val="center"/>
        </w:trPr>
        <w:tc>
          <w:tcPr>
            <w:tcW w:w="4920" w:type="dxa"/>
            <w:vAlign w:val="center"/>
          </w:tcPr>
          <w:p>
            <w:pPr>
              <w:spacing w:line="240" w:lineRule="exact"/>
              <w:jc w:val="left"/>
              <w:rPr>
                <w:rFonts w:ascii="宋体" w:hAnsi="宋体"/>
                <w:b/>
                <w:sz w:val="22"/>
                <w:szCs w:val="22"/>
                <w:lang w:eastAsia="zh-TW"/>
              </w:rPr>
            </w:pPr>
            <w:r>
              <w:rPr>
                <w:rFonts w:hint="eastAsia" w:ascii="宋体" w:hAnsi="宋体"/>
                <w:b/>
                <w:sz w:val="22"/>
                <w:szCs w:val="22"/>
              </w:rPr>
              <w:t>合計</w:t>
            </w:r>
          </w:p>
        </w:tc>
        <w:tc>
          <w:tcPr>
            <w:tcW w:w="1995" w:type="dxa"/>
            <w:vAlign w:val="center"/>
          </w:tcPr>
          <w:p>
            <w:pPr>
              <w:pStyle w:val="29"/>
              <w:pBdr>
                <w:bottom w:val="double" w:color="auto" w:sz="4" w:space="1"/>
              </w:pBdr>
              <w:spacing w:line="240" w:lineRule="exact"/>
              <w:jc w:val="right"/>
              <w:rPr>
                <w:rFonts w:ascii="PMingLiU" w:hAnsi="PMingLiU"/>
                <w:b/>
                <w:kern w:val="2"/>
                <w:sz w:val="22"/>
                <w:szCs w:val="22"/>
                <w:lang w:eastAsia="zh-TW"/>
              </w:rPr>
            </w:pPr>
            <w:r>
              <w:rPr>
                <w:rFonts w:hint="eastAsia" w:ascii="PMingLiU" w:hAnsi="PMingLiU"/>
                <w:b/>
                <w:kern w:val="2"/>
                <w:sz w:val="22"/>
                <w:szCs w:val="22"/>
                <w:lang w:eastAsia="zh-TW"/>
              </w:rPr>
              <w:t>6,132,396.75</w:t>
            </w:r>
          </w:p>
        </w:tc>
        <w:tc>
          <w:tcPr>
            <w:tcW w:w="1965" w:type="dxa"/>
            <w:vAlign w:val="center"/>
          </w:tcPr>
          <w:p>
            <w:pPr>
              <w:pStyle w:val="29"/>
              <w:pBdr>
                <w:bottom w:val="double" w:color="auto" w:sz="4" w:space="1"/>
              </w:pBdr>
              <w:spacing w:line="240" w:lineRule="exact"/>
              <w:jc w:val="right"/>
              <w:rPr>
                <w:rFonts w:ascii="PMingLiU" w:hAnsi="PMingLiU"/>
                <w:b/>
                <w:kern w:val="2"/>
                <w:sz w:val="22"/>
                <w:szCs w:val="22"/>
                <w:lang w:eastAsia="zh-TW"/>
              </w:rPr>
            </w:pPr>
            <w:r>
              <w:rPr>
                <w:rFonts w:hint="eastAsia" w:ascii="PMingLiU" w:hAnsi="PMingLiU"/>
                <w:b/>
                <w:kern w:val="2"/>
                <w:sz w:val="22"/>
                <w:szCs w:val="22"/>
                <w:lang w:eastAsia="zh-TW"/>
              </w:rPr>
              <w:t>3,701,845.29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6" w:hRule="exact"/>
          <w:jc w:val="center"/>
        </w:trPr>
        <w:tc>
          <w:tcPr>
            <w:tcW w:w="4920" w:type="dxa"/>
            <w:vAlign w:val="center"/>
          </w:tcPr>
          <w:p>
            <w:pPr>
              <w:spacing w:line="240" w:lineRule="exact"/>
              <w:jc w:val="left"/>
              <w:rPr>
                <w:rFonts w:ascii="宋体" w:hAnsi="宋体"/>
                <w:b/>
                <w:sz w:val="22"/>
                <w:szCs w:val="22"/>
              </w:rPr>
            </w:pPr>
          </w:p>
        </w:tc>
        <w:tc>
          <w:tcPr>
            <w:tcW w:w="1995" w:type="dxa"/>
            <w:vAlign w:val="center"/>
          </w:tcPr>
          <w:p>
            <w:pPr>
              <w:jc w:val="right"/>
              <w:rPr>
                <w:rFonts w:ascii="PMingLiU" w:hAnsi="PMingLiU"/>
                <w:sz w:val="22"/>
                <w:szCs w:val="22"/>
              </w:rPr>
            </w:pPr>
          </w:p>
        </w:tc>
        <w:tc>
          <w:tcPr>
            <w:tcW w:w="1965" w:type="dxa"/>
            <w:vAlign w:val="center"/>
          </w:tcPr>
          <w:p>
            <w:pPr>
              <w:jc w:val="right"/>
              <w:rPr>
                <w:rFonts w:ascii="PMingLiU" w:hAnsi="PMingLiU"/>
                <w:sz w:val="22"/>
                <w:szCs w:val="22"/>
              </w:rPr>
            </w:pPr>
          </w:p>
        </w:tc>
      </w:tr>
    </w:tbl>
    <w:p>
      <w:pPr>
        <w:tabs>
          <w:tab w:val="left" w:pos="700"/>
          <w:tab w:val="left" w:pos="1000"/>
        </w:tabs>
        <w:spacing w:beforeLines="100" w:line="360" w:lineRule="exact"/>
        <w:ind w:left="372" w:leftChars="177" w:firstLine="440" w:firstLineChars="200"/>
        <w:outlineLvl w:val="2"/>
        <w:rPr>
          <w:rFonts w:ascii="宋体" w:hAnsi="宋体" w:cs="宋体"/>
          <w:sz w:val="22"/>
          <w:szCs w:val="22"/>
          <w:lang w:eastAsia="zh-TW"/>
        </w:rPr>
      </w:pPr>
      <w:r>
        <w:rPr>
          <w:rFonts w:hint="eastAsia" w:ascii="宋体" w:hAnsi="宋体" w:cs="宋体"/>
          <w:sz w:val="22"/>
          <w:szCs w:val="22"/>
          <w:lang w:eastAsia="zh-TW"/>
        </w:rPr>
        <w:t>於2017年12月31日，應收賬款6,132,396.75元（年初金額3,701,845.29元）已逾期而未計提任何壞賬準備，未來公司將加大對該等客戶應收賬款的回收力度，但基於對客戶財務狀況的判斷，本集團認為這部分款項可以全部或部分收回，固未單獨或全額計提壞賬準備。</w:t>
      </w:r>
    </w:p>
    <w:p>
      <w:pPr>
        <w:autoSpaceDE w:val="0"/>
        <w:autoSpaceDN w:val="0"/>
        <w:adjustRightInd w:val="0"/>
        <w:ind w:left="447" w:leftChars="213"/>
        <w:rPr>
          <w:sz w:val="22"/>
          <w:szCs w:val="22"/>
          <w:lang w:eastAsia="zh-TW"/>
        </w:rPr>
      </w:pPr>
    </w:p>
    <w:p>
      <w:pPr>
        <w:widowControl/>
        <w:numPr>
          <w:ilvl w:val="0"/>
          <w:numId w:val="4"/>
        </w:numPr>
        <w:spacing w:line="320" w:lineRule="exact"/>
        <w:jc w:val="left"/>
        <w:outlineLvl w:val="1"/>
        <w:rPr>
          <w:b/>
          <w:sz w:val="22"/>
        </w:rPr>
      </w:pPr>
      <w:r>
        <w:rPr>
          <w:rFonts w:hint="eastAsia"/>
          <w:b/>
          <w:sz w:val="22"/>
        </w:rPr>
        <w:t>其他應收款</w:t>
      </w:r>
    </w:p>
    <w:tbl>
      <w:tblPr>
        <w:tblW w:w="8536" w:type="dxa"/>
        <w:tblInd w:w="5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520"/>
        <w:gridCol w:w="2008"/>
        <w:gridCol w:w="2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20" w:type="dxa"/>
            <w:vAlign w:val="top"/>
          </w:tcPr>
          <w:p>
            <w:pPr>
              <w:spacing w:line="240" w:lineRule="exact"/>
              <w:jc w:val="center"/>
              <w:rPr>
                <w:sz w:val="22"/>
              </w:rPr>
            </w:pPr>
          </w:p>
        </w:tc>
        <w:tc>
          <w:tcPr>
            <w:tcW w:w="2008" w:type="dxa"/>
            <w:vAlign w:val="top"/>
          </w:tcPr>
          <w:p>
            <w:pPr>
              <w:pBdr>
                <w:bottom w:val="single" w:color="auto" w:sz="4" w:space="0"/>
              </w:pBdr>
              <w:spacing w:line="240" w:lineRule="exact"/>
              <w:jc w:val="center"/>
              <w:rPr>
                <w:sz w:val="22"/>
              </w:rPr>
            </w:pPr>
            <w:r>
              <w:rPr>
                <w:rFonts w:hint="eastAsia"/>
                <w:sz w:val="22"/>
              </w:rPr>
              <w:t>二零一七年</w:t>
            </w:r>
          </w:p>
          <w:p>
            <w:pPr>
              <w:pBdr>
                <w:bottom w:val="single" w:color="auto" w:sz="4" w:space="0"/>
              </w:pBdr>
              <w:spacing w:line="240" w:lineRule="exact"/>
              <w:jc w:val="center"/>
              <w:rPr>
                <w:sz w:val="22"/>
              </w:rPr>
            </w:pPr>
            <w:r>
              <w:rPr>
                <w:rFonts w:hint="eastAsia"/>
                <w:sz w:val="22"/>
              </w:rPr>
              <w:t>十二月三十一日</w:t>
            </w:r>
          </w:p>
        </w:tc>
        <w:tc>
          <w:tcPr>
            <w:tcW w:w="2008" w:type="dxa"/>
            <w:vAlign w:val="top"/>
          </w:tcPr>
          <w:p>
            <w:pPr>
              <w:pBdr>
                <w:bottom w:val="single" w:color="auto" w:sz="4" w:space="0"/>
              </w:pBdr>
              <w:spacing w:line="240" w:lineRule="exact"/>
              <w:jc w:val="center"/>
              <w:rPr>
                <w:sz w:val="22"/>
              </w:rPr>
            </w:pPr>
            <w:r>
              <w:rPr>
                <w:rFonts w:hint="eastAsia"/>
                <w:sz w:val="22"/>
              </w:rPr>
              <w:t>二零一六年</w:t>
            </w:r>
          </w:p>
          <w:p>
            <w:pPr>
              <w:pBdr>
                <w:bottom w:val="single" w:color="auto" w:sz="4" w:space="0"/>
              </w:pBdr>
              <w:spacing w:line="240" w:lineRule="exact"/>
              <w:jc w:val="center"/>
              <w:rPr>
                <w:sz w:val="22"/>
                <w:u w:val="single"/>
              </w:rPr>
            </w:pPr>
            <w:r>
              <w:rPr>
                <w:rFonts w:hint="eastAsia"/>
                <w:sz w:val="22"/>
              </w:rPr>
              <w:t>十二月三十一日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0" w:hRule="atLeast"/>
        </w:trPr>
        <w:tc>
          <w:tcPr>
            <w:tcW w:w="4520" w:type="dxa"/>
            <w:vAlign w:val="top"/>
          </w:tcPr>
          <w:p>
            <w:pPr>
              <w:spacing w:line="240" w:lineRule="exact"/>
              <w:rPr>
                <w:sz w:val="22"/>
              </w:rPr>
            </w:pPr>
          </w:p>
        </w:tc>
        <w:tc>
          <w:tcPr>
            <w:tcW w:w="2008" w:type="dxa"/>
            <w:vAlign w:val="top"/>
          </w:tcPr>
          <w:p>
            <w:pPr>
              <w:spacing w:line="240" w:lineRule="exact"/>
              <w:jc w:val="center"/>
              <w:rPr>
                <w:sz w:val="22"/>
              </w:rPr>
            </w:pPr>
            <w:r>
              <w:rPr>
                <w:rFonts w:hint="eastAsia"/>
                <w:sz w:val="22"/>
              </w:rPr>
              <w:t>人民幣元</w:t>
            </w:r>
          </w:p>
        </w:tc>
        <w:tc>
          <w:tcPr>
            <w:tcW w:w="2008" w:type="dxa"/>
            <w:vAlign w:val="top"/>
          </w:tcPr>
          <w:p>
            <w:pPr>
              <w:spacing w:line="240" w:lineRule="exact"/>
              <w:jc w:val="center"/>
              <w:rPr>
                <w:sz w:val="22"/>
              </w:rPr>
            </w:pPr>
            <w:r>
              <w:rPr>
                <w:rFonts w:hint="eastAsia"/>
                <w:sz w:val="22"/>
              </w:rPr>
              <w:t>人民幣元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4520" w:type="dxa"/>
            <w:vAlign w:val="bottom"/>
          </w:tcPr>
          <w:p>
            <w:pPr>
              <w:widowControl/>
              <w:spacing w:line="320" w:lineRule="exact"/>
              <w:outlineLvl w:val="1"/>
              <w:rPr>
                <w:sz w:val="22"/>
              </w:rPr>
            </w:pPr>
            <w:r>
              <w:rPr>
                <w:rFonts w:hint="eastAsia"/>
                <w:sz w:val="22"/>
              </w:rPr>
              <w:t>其他應收款</w:t>
            </w:r>
          </w:p>
        </w:tc>
        <w:tc>
          <w:tcPr>
            <w:tcW w:w="2008" w:type="dxa"/>
            <w:tcBorders>
              <w:bottom w:val="nil"/>
            </w:tcBorders>
            <w:vAlign w:val="bottom"/>
          </w:tcPr>
          <w:p>
            <w:pPr>
              <w:pStyle w:val="29"/>
              <w:spacing w:line="230" w:lineRule="exact"/>
              <w:jc w:val="right"/>
              <w:rPr>
                <w:rFonts w:ascii="Times New Roman" w:hAnsi="Times New Roman"/>
                <w:kern w:val="2"/>
                <w:sz w:val="22"/>
              </w:rPr>
            </w:pPr>
            <w:r>
              <w:rPr>
                <w:rFonts w:ascii="Times New Roman" w:hAnsi="Times New Roman"/>
                <w:kern w:val="2"/>
                <w:sz w:val="22"/>
              </w:rPr>
              <w:t xml:space="preserve">64,931,292.56 </w:t>
            </w:r>
          </w:p>
        </w:tc>
        <w:tc>
          <w:tcPr>
            <w:tcW w:w="2008" w:type="dxa"/>
            <w:tcBorders>
              <w:bottom w:val="nil"/>
            </w:tcBorders>
            <w:vAlign w:val="bottom"/>
          </w:tcPr>
          <w:p>
            <w:pPr>
              <w:pStyle w:val="29"/>
              <w:spacing w:line="230" w:lineRule="exact"/>
              <w:jc w:val="right"/>
              <w:rPr>
                <w:rFonts w:ascii="Times New Roman" w:hAnsi="Times New Roman"/>
                <w:kern w:val="2"/>
                <w:sz w:val="22"/>
              </w:rPr>
            </w:pPr>
            <w:r>
              <w:rPr>
                <w:rFonts w:ascii="Times New Roman" w:hAnsi="Times New Roman"/>
                <w:kern w:val="2"/>
                <w:sz w:val="22"/>
              </w:rPr>
              <w:t>71,075,858.34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4520" w:type="dxa"/>
            <w:tcBorders>
              <w:right w:val="nil"/>
            </w:tcBorders>
            <w:vAlign w:val="bottom"/>
          </w:tcPr>
          <w:p>
            <w:pPr>
              <w:spacing w:line="240" w:lineRule="exact"/>
              <w:ind w:left="743" w:hanging="743"/>
              <w:rPr>
                <w:i/>
                <w:sz w:val="22"/>
                <w:lang w:eastAsia="zh-TW"/>
              </w:rPr>
            </w:pPr>
            <w:r>
              <w:rPr>
                <w:rFonts w:hint="eastAsia"/>
                <w:i/>
                <w:sz w:val="22"/>
                <w:lang w:eastAsia="zh-TW"/>
              </w:rPr>
              <w:t>減：其他應收款壞賬準備</w:t>
            </w:r>
          </w:p>
        </w:tc>
        <w:tc>
          <w:tcPr>
            <w:tcW w:w="2008" w:type="dxa"/>
            <w:tcBorders>
              <w:top w:val="nil"/>
              <w:left w:val="nil"/>
              <w:bottom w:val="single" w:color="auto" w:sz="4" w:space="0"/>
              <w:right w:val="nil"/>
            </w:tcBorders>
            <w:vAlign w:val="bottom"/>
          </w:tcPr>
          <w:p>
            <w:pPr>
              <w:pStyle w:val="29"/>
              <w:spacing w:line="230" w:lineRule="exact"/>
              <w:jc w:val="right"/>
              <w:rPr>
                <w:rFonts w:ascii="Times New Roman" w:hAnsi="Times New Roman"/>
                <w:kern w:val="2"/>
                <w:sz w:val="22"/>
              </w:rPr>
            </w:pPr>
            <w:r>
              <w:rPr>
                <w:rFonts w:ascii="Times New Roman" w:hAnsi="Times New Roman"/>
                <w:kern w:val="2"/>
                <w:sz w:val="22"/>
                <w:u w:val="single"/>
                <w:lang w:eastAsia="zh-TW"/>
              </w:rPr>
              <w:t xml:space="preserve">  </w:t>
            </w:r>
            <w:r>
              <w:rPr>
                <w:rFonts w:ascii="Times New Roman" w:hAnsi="Times New Roman"/>
                <w:kern w:val="2"/>
                <w:sz w:val="22"/>
                <w:u w:val="single"/>
              </w:rPr>
              <w:t>19,913,909.51</w:t>
            </w:r>
            <w:r>
              <w:rPr>
                <w:rFonts w:ascii="Times New Roman" w:hAnsi="Times New Roman"/>
                <w:kern w:val="2"/>
                <w:sz w:val="22"/>
              </w:rPr>
              <w:t xml:space="preserve"> </w:t>
            </w:r>
          </w:p>
        </w:tc>
        <w:tc>
          <w:tcPr>
            <w:tcW w:w="2008" w:type="dxa"/>
            <w:tcBorders>
              <w:top w:val="nil"/>
              <w:left w:val="nil"/>
              <w:bottom w:val="single" w:color="auto" w:sz="4" w:space="0"/>
              <w:right w:val="nil"/>
            </w:tcBorders>
            <w:vAlign w:val="bottom"/>
          </w:tcPr>
          <w:p>
            <w:pPr>
              <w:pStyle w:val="29"/>
              <w:pBdr>
                <w:bottom w:val="single" w:color="auto" w:sz="4" w:space="1"/>
              </w:pBdr>
              <w:spacing w:line="230" w:lineRule="exact"/>
              <w:jc w:val="right"/>
              <w:rPr>
                <w:rFonts w:ascii="Times New Roman" w:hAnsi="Times New Roman"/>
                <w:kern w:val="2"/>
                <w:sz w:val="22"/>
              </w:rPr>
            </w:pPr>
            <w:r>
              <w:rPr>
                <w:rFonts w:ascii="Times New Roman" w:hAnsi="Times New Roman"/>
                <w:kern w:val="2"/>
                <w:sz w:val="22"/>
                <w:u w:val="single"/>
              </w:rPr>
              <w:t>24,485,439.04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4520" w:type="dxa"/>
            <w:vAlign w:val="top"/>
          </w:tcPr>
          <w:p>
            <w:pPr>
              <w:spacing w:line="240" w:lineRule="exact"/>
              <w:rPr>
                <w:sz w:val="22"/>
              </w:rPr>
            </w:pPr>
          </w:p>
        </w:tc>
        <w:tc>
          <w:tcPr>
            <w:tcW w:w="2008" w:type="dxa"/>
            <w:tcBorders>
              <w:top w:val="single" w:color="auto" w:sz="4" w:space="0"/>
            </w:tcBorders>
            <w:vAlign w:val="bottom"/>
          </w:tcPr>
          <w:p>
            <w:pPr>
              <w:pStyle w:val="29"/>
              <w:pBdr>
                <w:bottom w:val="double" w:color="auto" w:sz="4" w:space="1"/>
              </w:pBdr>
              <w:spacing w:line="240" w:lineRule="exact"/>
              <w:jc w:val="right"/>
              <w:rPr>
                <w:rFonts w:ascii="Times New Roman" w:hAnsi="Times New Roman"/>
                <w:b/>
                <w:kern w:val="2"/>
                <w:sz w:val="22"/>
              </w:rPr>
            </w:pPr>
            <w:r>
              <w:rPr>
                <w:rFonts w:ascii="Times New Roman" w:hAnsi="Times New Roman"/>
                <w:b/>
                <w:kern w:val="2"/>
                <w:sz w:val="22"/>
              </w:rPr>
              <w:t>45,017,383.05</w:t>
            </w:r>
          </w:p>
        </w:tc>
        <w:tc>
          <w:tcPr>
            <w:tcW w:w="2008" w:type="dxa"/>
            <w:tcBorders>
              <w:top w:val="single" w:color="auto" w:sz="4" w:space="0"/>
            </w:tcBorders>
            <w:vAlign w:val="bottom"/>
          </w:tcPr>
          <w:p>
            <w:pPr>
              <w:pStyle w:val="29"/>
              <w:pBdr>
                <w:bottom w:val="double" w:color="auto" w:sz="4" w:space="1"/>
              </w:pBdr>
              <w:spacing w:line="240" w:lineRule="exact"/>
              <w:jc w:val="right"/>
              <w:rPr>
                <w:rFonts w:ascii="Times New Roman" w:hAnsi="Times New Roman"/>
                <w:kern w:val="2"/>
                <w:sz w:val="22"/>
              </w:rPr>
            </w:pPr>
            <w:r>
              <w:rPr>
                <w:rFonts w:ascii="Times New Roman" w:hAnsi="Times New Roman"/>
                <w:b/>
                <w:kern w:val="2"/>
                <w:sz w:val="22"/>
              </w:rPr>
              <w:t>46,590,419.30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rPr>
        <w:tc>
          <w:tcPr>
            <w:tcW w:w="4520" w:type="dxa"/>
            <w:vAlign w:val="top"/>
          </w:tcPr>
          <w:p>
            <w:pPr>
              <w:spacing w:line="240" w:lineRule="exact"/>
              <w:rPr>
                <w:sz w:val="22"/>
              </w:rPr>
            </w:pPr>
          </w:p>
        </w:tc>
        <w:tc>
          <w:tcPr>
            <w:tcW w:w="2008" w:type="dxa"/>
            <w:vAlign w:val="center"/>
          </w:tcPr>
          <w:p>
            <w:pPr>
              <w:pStyle w:val="29"/>
              <w:wordWrap w:val="0"/>
              <w:spacing w:line="240" w:lineRule="exact"/>
              <w:jc w:val="right"/>
              <w:rPr>
                <w:rFonts w:ascii="Times New Roman" w:hAnsi="Times New Roman"/>
                <w:b/>
                <w:kern w:val="2"/>
                <w:sz w:val="22"/>
                <w:u w:val="double"/>
              </w:rPr>
            </w:pPr>
          </w:p>
        </w:tc>
        <w:tc>
          <w:tcPr>
            <w:tcW w:w="2008" w:type="dxa"/>
            <w:vAlign w:val="center"/>
          </w:tcPr>
          <w:p>
            <w:pPr>
              <w:pStyle w:val="29"/>
              <w:wordWrap w:val="0"/>
              <w:spacing w:line="230" w:lineRule="exact"/>
              <w:jc w:val="right"/>
              <w:rPr>
                <w:rFonts w:ascii="Times New Roman" w:hAnsi="Times New Roman"/>
                <w:b/>
                <w:kern w:val="2"/>
                <w:sz w:val="22"/>
                <w:u w:val="double"/>
              </w:rPr>
            </w:pPr>
          </w:p>
        </w:tc>
      </w:tr>
    </w:tbl>
    <w:p>
      <w:pPr>
        <w:autoSpaceDE w:val="0"/>
        <w:autoSpaceDN w:val="0"/>
        <w:adjustRightInd w:val="0"/>
        <w:rPr>
          <w:b/>
          <w:sz w:val="22"/>
        </w:rPr>
      </w:pPr>
    </w:p>
    <w:p>
      <w:pPr>
        <w:autoSpaceDE w:val="0"/>
        <w:autoSpaceDN w:val="0"/>
        <w:adjustRightInd w:val="0"/>
        <w:rPr>
          <w:b/>
          <w:sz w:val="22"/>
          <w:lang w:eastAsia="zh-TW"/>
        </w:rPr>
      </w:pPr>
      <w:r>
        <w:rPr>
          <w:rFonts w:hint="eastAsia"/>
          <w:b/>
          <w:sz w:val="22"/>
          <w:lang w:eastAsia="zh-TW"/>
        </w:rPr>
        <w:t>其他應收款按其交易日期的賬齡分析如下：</w:t>
      </w:r>
    </w:p>
    <w:p>
      <w:pPr>
        <w:autoSpaceDE w:val="0"/>
        <w:autoSpaceDN w:val="0"/>
        <w:adjustRightInd w:val="0"/>
        <w:rPr>
          <w:b/>
          <w:sz w:val="22"/>
          <w:lang w:eastAsia="zh-TW"/>
        </w:rPr>
      </w:pPr>
    </w:p>
    <w:tbl>
      <w:tblPr>
        <w:tblW w:w="8499" w:type="dxa"/>
        <w:tblInd w:w="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507"/>
        <w:gridCol w:w="1996"/>
        <w:gridCol w:w="1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07" w:type="dxa"/>
            <w:vAlign w:val="top"/>
          </w:tcPr>
          <w:p>
            <w:pPr>
              <w:spacing w:line="240" w:lineRule="exact"/>
              <w:jc w:val="center"/>
              <w:rPr>
                <w:b/>
                <w:sz w:val="22"/>
                <w:lang w:eastAsia="zh-TW"/>
              </w:rPr>
            </w:pPr>
          </w:p>
          <w:p>
            <w:pPr>
              <w:spacing w:line="240" w:lineRule="exact"/>
              <w:jc w:val="center"/>
              <w:rPr>
                <w:sz w:val="22"/>
                <w:lang w:eastAsia="zh-TW"/>
              </w:rPr>
            </w:pPr>
          </w:p>
        </w:tc>
        <w:tc>
          <w:tcPr>
            <w:tcW w:w="1996" w:type="dxa"/>
            <w:vAlign w:val="top"/>
          </w:tcPr>
          <w:p>
            <w:pPr>
              <w:pBdr>
                <w:bottom w:val="single" w:color="auto" w:sz="4" w:space="0"/>
              </w:pBdr>
              <w:spacing w:line="240" w:lineRule="exact"/>
              <w:jc w:val="center"/>
              <w:rPr>
                <w:sz w:val="22"/>
              </w:rPr>
            </w:pPr>
            <w:r>
              <w:rPr>
                <w:rFonts w:hint="eastAsia"/>
                <w:sz w:val="22"/>
              </w:rPr>
              <w:t>二零一七年</w:t>
            </w:r>
          </w:p>
          <w:p>
            <w:pPr>
              <w:pBdr>
                <w:bottom w:val="single" w:color="auto" w:sz="4" w:space="0"/>
              </w:pBdr>
              <w:spacing w:line="240" w:lineRule="exact"/>
              <w:jc w:val="center"/>
              <w:rPr>
                <w:sz w:val="22"/>
              </w:rPr>
            </w:pPr>
            <w:r>
              <w:rPr>
                <w:rFonts w:hint="eastAsia"/>
                <w:sz w:val="22"/>
              </w:rPr>
              <w:t>十二月三十一日</w:t>
            </w:r>
          </w:p>
        </w:tc>
        <w:tc>
          <w:tcPr>
            <w:tcW w:w="1996" w:type="dxa"/>
            <w:vAlign w:val="top"/>
          </w:tcPr>
          <w:p>
            <w:pPr>
              <w:pBdr>
                <w:bottom w:val="single" w:color="auto" w:sz="4" w:space="0"/>
              </w:pBdr>
              <w:spacing w:line="240" w:lineRule="exact"/>
              <w:jc w:val="center"/>
              <w:rPr>
                <w:sz w:val="22"/>
              </w:rPr>
            </w:pPr>
            <w:r>
              <w:rPr>
                <w:rFonts w:hint="eastAsia"/>
                <w:sz w:val="22"/>
              </w:rPr>
              <w:t>二零一六年</w:t>
            </w:r>
          </w:p>
          <w:p>
            <w:pPr>
              <w:pBdr>
                <w:bottom w:val="single" w:color="auto" w:sz="4" w:space="0"/>
              </w:pBdr>
              <w:spacing w:line="240" w:lineRule="exact"/>
              <w:jc w:val="center"/>
              <w:rPr>
                <w:sz w:val="22"/>
                <w:u w:val="single"/>
              </w:rPr>
            </w:pPr>
            <w:r>
              <w:rPr>
                <w:rFonts w:hint="eastAsia"/>
                <w:sz w:val="22"/>
              </w:rPr>
              <w:t>十二月三十一日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07" w:type="dxa"/>
            <w:vAlign w:val="center"/>
          </w:tcPr>
          <w:p>
            <w:pPr>
              <w:rPr>
                <w:sz w:val="22"/>
              </w:rPr>
            </w:pPr>
          </w:p>
        </w:tc>
        <w:tc>
          <w:tcPr>
            <w:tcW w:w="1996" w:type="dxa"/>
            <w:vAlign w:val="top"/>
          </w:tcPr>
          <w:p>
            <w:pPr>
              <w:spacing w:line="240" w:lineRule="exact"/>
              <w:jc w:val="center"/>
              <w:rPr>
                <w:sz w:val="22"/>
              </w:rPr>
            </w:pPr>
            <w:r>
              <w:rPr>
                <w:rFonts w:hint="eastAsia"/>
                <w:sz w:val="22"/>
              </w:rPr>
              <w:t>人民幣元</w:t>
            </w:r>
          </w:p>
        </w:tc>
        <w:tc>
          <w:tcPr>
            <w:tcW w:w="1996" w:type="dxa"/>
            <w:vAlign w:val="top"/>
          </w:tcPr>
          <w:p>
            <w:pPr>
              <w:spacing w:line="240" w:lineRule="exact"/>
              <w:jc w:val="center"/>
              <w:rPr>
                <w:sz w:val="22"/>
              </w:rPr>
            </w:pPr>
            <w:r>
              <w:rPr>
                <w:rFonts w:hint="eastAsia"/>
                <w:sz w:val="22"/>
              </w:rPr>
              <w:t>人民幣元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4507" w:type="dxa"/>
            <w:vAlign w:val="bottom"/>
          </w:tcPr>
          <w:p>
            <w:pPr>
              <w:rPr>
                <w:sz w:val="22"/>
              </w:rPr>
            </w:pPr>
            <w:r>
              <w:rPr>
                <w:sz w:val="22"/>
              </w:rPr>
              <w:t>1</w:t>
            </w:r>
            <w:r>
              <w:rPr>
                <w:rFonts w:hint="eastAsia"/>
                <w:sz w:val="22"/>
              </w:rPr>
              <w:t>年以內</w:t>
            </w:r>
          </w:p>
        </w:tc>
        <w:tc>
          <w:tcPr>
            <w:tcW w:w="1996" w:type="dxa"/>
            <w:vAlign w:val="center"/>
          </w:tcPr>
          <w:p>
            <w:pPr>
              <w:snapToGrid w:val="0"/>
              <w:jc w:val="right"/>
              <w:rPr>
                <w:sz w:val="22"/>
              </w:rPr>
            </w:pPr>
            <w:r>
              <w:rPr>
                <w:sz w:val="22"/>
              </w:rPr>
              <w:t>26,252,675.63</w:t>
            </w:r>
            <w:r>
              <w:rPr>
                <w:kern w:val="0"/>
                <w:sz w:val="22"/>
              </w:rPr>
              <w:t xml:space="preserve"> </w:t>
            </w:r>
          </w:p>
        </w:tc>
        <w:tc>
          <w:tcPr>
            <w:tcW w:w="1996" w:type="dxa"/>
            <w:vAlign w:val="bottom"/>
          </w:tcPr>
          <w:p>
            <w:pPr>
              <w:snapToGrid w:val="0"/>
              <w:jc w:val="right"/>
              <w:rPr>
                <w:sz w:val="22"/>
              </w:rPr>
            </w:pPr>
            <w:r>
              <w:rPr>
                <w:sz w:val="22"/>
              </w:rPr>
              <w:t>28,438,033.63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4507" w:type="dxa"/>
            <w:vAlign w:val="bottom"/>
          </w:tcPr>
          <w:p>
            <w:pPr>
              <w:rPr>
                <w:sz w:val="22"/>
              </w:rPr>
            </w:pPr>
            <w:r>
              <w:rPr>
                <w:sz w:val="22"/>
              </w:rPr>
              <w:t>1</w:t>
            </w:r>
            <w:r>
              <w:rPr>
                <w:rFonts w:hint="eastAsia"/>
                <w:sz w:val="22"/>
              </w:rPr>
              <w:t>－</w:t>
            </w:r>
            <w:r>
              <w:rPr>
                <w:sz w:val="22"/>
              </w:rPr>
              <w:t>2</w:t>
            </w:r>
            <w:r>
              <w:rPr>
                <w:rFonts w:hint="eastAsia"/>
                <w:sz w:val="22"/>
              </w:rPr>
              <w:t>年</w:t>
            </w:r>
          </w:p>
        </w:tc>
        <w:tc>
          <w:tcPr>
            <w:tcW w:w="1996" w:type="dxa"/>
            <w:vAlign w:val="center"/>
          </w:tcPr>
          <w:p>
            <w:pPr>
              <w:snapToGrid w:val="0"/>
              <w:jc w:val="right"/>
              <w:rPr>
                <w:sz w:val="22"/>
              </w:rPr>
            </w:pPr>
            <w:r>
              <w:rPr>
                <w:sz w:val="22"/>
              </w:rPr>
              <w:t>10,654,600.02</w:t>
            </w:r>
            <w:r>
              <w:rPr>
                <w:kern w:val="0"/>
                <w:sz w:val="22"/>
              </w:rPr>
              <w:t xml:space="preserve"> </w:t>
            </w:r>
          </w:p>
        </w:tc>
        <w:tc>
          <w:tcPr>
            <w:tcW w:w="1996" w:type="dxa"/>
            <w:vAlign w:val="bottom"/>
          </w:tcPr>
          <w:p>
            <w:pPr>
              <w:snapToGrid w:val="0"/>
              <w:jc w:val="right"/>
              <w:rPr>
                <w:sz w:val="22"/>
              </w:rPr>
            </w:pPr>
            <w:r>
              <w:rPr>
                <w:sz w:val="22"/>
              </w:rPr>
              <w:t>10,230,658.71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4507" w:type="dxa"/>
            <w:vAlign w:val="bottom"/>
          </w:tcPr>
          <w:p>
            <w:pPr>
              <w:rPr>
                <w:sz w:val="22"/>
              </w:rPr>
            </w:pPr>
            <w:r>
              <w:rPr>
                <w:sz w:val="22"/>
              </w:rPr>
              <w:t>2</w:t>
            </w:r>
            <w:r>
              <w:rPr>
                <w:rFonts w:hint="eastAsia"/>
                <w:sz w:val="22"/>
              </w:rPr>
              <w:t>－</w:t>
            </w:r>
            <w:r>
              <w:rPr>
                <w:sz w:val="22"/>
              </w:rPr>
              <w:t>3</w:t>
            </w:r>
            <w:r>
              <w:rPr>
                <w:rFonts w:hint="eastAsia"/>
                <w:sz w:val="22"/>
              </w:rPr>
              <w:t>年</w:t>
            </w:r>
          </w:p>
        </w:tc>
        <w:tc>
          <w:tcPr>
            <w:tcW w:w="1996" w:type="dxa"/>
            <w:vAlign w:val="center"/>
          </w:tcPr>
          <w:p>
            <w:pPr>
              <w:snapToGrid w:val="0"/>
              <w:jc w:val="right"/>
              <w:rPr>
                <w:sz w:val="22"/>
              </w:rPr>
            </w:pPr>
            <w:r>
              <w:rPr>
                <w:sz w:val="22"/>
              </w:rPr>
              <w:t>8,110,107.40</w:t>
            </w:r>
            <w:r>
              <w:rPr>
                <w:kern w:val="0"/>
                <w:sz w:val="22"/>
              </w:rPr>
              <w:t xml:space="preserve"> </w:t>
            </w:r>
          </w:p>
        </w:tc>
        <w:tc>
          <w:tcPr>
            <w:tcW w:w="1996" w:type="dxa"/>
            <w:vAlign w:val="bottom"/>
          </w:tcPr>
          <w:p>
            <w:pPr>
              <w:snapToGrid w:val="0"/>
              <w:jc w:val="right"/>
              <w:rPr>
                <w:sz w:val="22"/>
              </w:rPr>
            </w:pPr>
            <w:r>
              <w:rPr>
                <w:sz w:val="22"/>
              </w:rPr>
              <w:t>2,221,726.96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4507" w:type="dxa"/>
            <w:vAlign w:val="bottom"/>
          </w:tcPr>
          <w:p>
            <w:pPr>
              <w:rPr>
                <w:b/>
                <w:sz w:val="22"/>
              </w:rPr>
            </w:pPr>
            <w:r>
              <w:rPr>
                <w:sz w:val="22"/>
              </w:rPr>
              <w:t>3</w:t>
            </w:r>
            <w:r>
              <w:rPr>
                <w:rFonts w:hint="eastAsia"/>
                <w:sz w:val="22"/>
              </w:rPr>
              <w:t>年以上</w:t>
            </w:r>
          </w:p>
        </w:tc>
        <w:tc>
          <w:tcPr>
            <w:tcW w:w="1996" w:type="dxa"/>
            <w:vAlign w:val="bottom"/>
          </w:tcPr>
          <w:p>
            <w:pPr>
              <w:pStyle w:val="29"/>
              <w:pBdr>
                <w:bottom w:val="single" w:color="auto" w:sz="4" w:space="1"/>
              </w:pBdr>
              <w:spacing w:line="230" w:lineRule="exact"/>
              <w:jc w:val="right"/>
              <w:rPr>
                <w:rFonts w:ascii="Times New Roman" w:hAnsi="Times New Roman"/>
                <w:kern w:val="2"/>
                <w:sz w:val="22"/>
                <w:u w:val="single"/>
              </w:rPr>
            </w:pPr>
            <w:r>
              <w:rPr>
                <w:rFonts w:ascii="Times New Roman" w:hAnsi="Times New Roman"/>
                <w:kern w:val="2"/>
                <w:sz w:val="22"/>
                <w:u w:val="single"/>
              </w:rPr>
              <w:t>-</w:t>
            </w:r>
          </w:p>
        </w:tc>
        <w:tc>
          <w:tcPr>
            <w:tcW w:w="1996" w:type="dxa"/>
            <w:vAlign w:val="bottom"/>
          </w:tcPr>
          <w:p>
            <w:pPr>
              <w:pStyle w:val="29"/>
              <w:pBdr>
                <w:bottom w:val="single" w:color="auto" w:sz="4" w:space="1"/>
              </w:pBdr>
              <w:spacing w:line="230" w:lineRule="exact"/>
              <w:jc w:val="right"/>
              <w:rPr>
                <w:rFonts w:ascii="Times New Roman" w:hAnsi="Times New Roman"/>
                <w:kern w:val="2"/>
                <w:sz w:val="22"/>
                <w:u w:val="single"/>
              </w:rPr>
            </w:pPr>
            <w:r>
              <w:rPr>
                <w:rFonts w:ascii="Times New Roman" w:hAnsi="Times New Roman"/>
                <w:kern w:val="2"/>
                <w:sz w:val="22"/>
                <w:u w:val="single"/>
              </w:rPr>
              <w:t>5,700,000.00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4507" w:type="dxa"/>
            <w:vAlign w:val="bottom"/>
          </w:tcPr>
          <w:p>
            <w:pPr>
              <w:rPr>
                <w:b/>
                <w:sz w:val="22"/>
              </w:rPr>
            </w:pPr>
            <w:r>
              <w:rPr>
                <w:rFonts w:hint="eastAsia"/>
                <w:b/>
                <w:sz w:val="22"/>
              </w:rPr>
              <w:t>合計</w:t>
            </w:r>
          </w:p>
        </w:tc>
        <w:tc>
          <w:tcPr>
            <w:tcW w:w="1996" w:type="dxa"/>
            <w:vAlign w:val="bottom"/>
          </w:tcPr>
          <w:p>
            <w:pPr>
              <w:pStyle w:val="29"/>
              <w:pBdr>
                <w:bottom w:val="double" w:color="auto" w:sz="4" w:space="1"/>
              </w:pBdr>
              <w:spacing w:line="240" w:lineRule="exact"/>
              <w:jc w:val="right"/>
              <w:rPr>
                <w:rFonts w:ascii="Times New Roman" w:hAnsi="Times New Roman"/>
                <w:b/>
                <w:kern w:val="2"/>
                <w:sz w:val="22"/>
              </w:rPr>
            </w:pPr>
            <w:r>
              <w:rPr>
                <w:rFonts w:ascii="Times New Roman" w:hAnsi="Times New Roman"/>
                <w:b/>
                <w:sz w:val="22"/>
              </w:rPr>
              <w:t>45,017,383.05</w:t>
            </w:r>
          </w:p>
        </w:tc>
        <w:tc>
          <w:tcPr>
            <w:tcW w:w="1996" w:type="dxa"/>
            <w:vAlign w:val="bottom"/>
          </w:tcPr>
          <w:p>
            <w:pPr>
              <w:pStyle w:val="29"/>
              <w:pBdr>
                <w:bottom w:val="double" w:color="auto" w:sz="4" w:space="1"/>
              </w:pBdr>
              <w:spacing w:line="240" w:lineRule="exact"/>
              <w:jc w:val="right"/>
              <w:rPr>
                <w:rFonts w:ascii="Times New Roman" w:hAnsi="Times New Roman"/>
                <w:sz w:val="22"/>
              </w:rPr>
            </w:pPr>
            <w:r>
              <w:rPr>
                <w:rFonts w:ascii="Times New Roman" w:hAnsi="Times New Roman"/>
                <w:b/>
                <w:kern w:val="2"/>
                <w:sz w:val="22"/>
              </w:rPr>
              <w:t>46,590,419.30</w:t>
            </w:r>
          </w:p>
        </w:tc>
      </w:tr>
    </w:tbl>
    <w:p>
      <w:pPr>
        <w:autoSpaceDE w:val="0"/>
        <w:autoSpaceDN w:val="0"/>
        <w:adjustRightInd w:val="0"/>
        <w:ind w:left="447" w:leftChars="213"/>
        <w:rPr>
          <w:sz w:val="22"/>
        </w:rPr>
      </w:pPr>
    </w:p>
    <w:p>
      <w:pPr>
        <w:pStyle w:val="35"/>
        <w:widowControl w:val="0"/>
        <w:tabs>
          <w:tab w:val="left" w:pos="800"/>
        </w:tabs>
        <w:spacing w:beforeLines="100" w:beforeAutospacing="0" w:afterLines="50" w:afterAutospacing="0" w:line="360" w:lineRule="exact"/>
        <w:ind w:firstLine="440" w:firstLineChars="200"/>
        <w:jc w:val="both"/>
        <w:rPr>
          <w:rFonts w:cs="宋体"/>
          <w:sz w:val="22"/>
          <w:szCs w:val="22"/>
          <w:lang w:eastAsia="zh-TW"/>
        </w:rPr>
      </w:pPr>
      <w:r>
        <w:rPr>
          <w:rFonts w:hint="eastAsia" w:eastAsia="PMingLiU" w:cs="宋体"/>
          <w:sz w:val="22"/>
          <w:szCs w:val="22"/>
          <w:lang w:eastAsia="zh-TW"/>
        </w:rPr>
        <w:t>本集團未對其他應收款設定明確的信用期，因此於</w:t>
      </w:r>
      <w:r>
        <w:rPr>
          <w:rFonts w:eastAsia="PMingLiU" w:cs="宋体"/>
          <w:sz w:val="22"/>
          <w:szCs w:val="22"/>
          <w:lang w:eastAsia="zh-TW"/>
        </w:rPr>
        <w:t>2017</w:t>
      </w:r>
      <w:r>
        <w:rPr>
          <w:rFonts w:hint="eastAsia" w:eastAsia="PMingLiU" w:cs="宋体"/>
          <w:sz w:val="22"/>
          <w:szCs w:val="22"/>
          <w:lang w:eastAsia="zh-TW"/>
        </w:rPr>
        <w:t>年</w:t>
      </w:r>
      <w:r>
        <w:rPr>
          <w:rFonts w:eastAsia="PMingLiU" w:cs="宋体"/>
          <w:sz w:val="22"/>
          <w:szCs w:val="22"/>
          <w:lang w:eastAsia="zh-TW"/>
        </w:rPr>
        <w:t>12</w:t>
      </w:r>
      <w:r>
        <w:rPr>
          <w:rFonts w:hint="eastAsia" w:eastAsia="PMingLiU" w:cs="宋体"/>
          <w:sz w:val="22"/>
          <w:szCs w:val="22"/>
          <w:lang w:eastAsia="zh-TW"/>
        </w:rPr>
        <w:t>月</w:t>
      </w:r>
      <w:r>
        <w:rPr>
          <w:rFonts w:eastAsia="PMingLiU" w:cs="宋体"/>
          <w:sz w:val="22"/>
          <w:szCs w:val="22"/>
          <w:lang w:eastAsia="zh-TW"/>
        </w:rPr>
        <w:t>31</w:t>
      </w:r>
      <w:r>
        <w:rPr>
          <w:rFonts w:hint="eastAsia" w:eastAsia="PMingLiU" w:cs="宋体"/>
          <w:sz w:val="22"/>
          <w:szCs w:val="22"/>
          <w:lang w:eastAsia="zh-TW"/>
        </w:rPr>
        <w:t>日及</w:t>
      </w:r>
      <w:r>
        <w:rPr>
          <w:rFonts w:eastAsia="PMingLiU" w:cs="宋体"/>
          <w:sz w:val="22"/>
          <w:szCs w:val="22"/>
          <w:lang w:eastAsia="zh-TW"/>
        </w:rPr>
        <w:t>2016</w:t>
      </w:r>
      <w:r>
        <w:rPr>
          <w:rFonts w:hint="eastAsia" w:eastAsia="PMingLiU" w:cs="宋体"/>
          <w:sz w:val="22"/>
          <w:szCs w:val="22"/>
          <w:lang w:eastAsia="zh-TW"/>
        </w:rPr>
        <w:t>年</w:t>
      </w:r>
      <w:r>
        <w:rPr>
          <w:rFonts w:eastAsia="PMingLiU" w:cs="宋体"/>
          <w:sz w:val="22"/>
          <w:szCs w:val="22"/>
          <w:lang w:eastAsia="zh-TW"/>
        </w:rPr>
        <w:t>12</w:t>
      </w:r>
      <w:r>
        <w:rPr>
          <w:rFonts w:hint="eastAsia" w:eastAsia="PMingLiU" w:cs="宋体"/>
          <w:sz w:val="22"/>
          <w:szCs w:val="22"/>
          <w:lang w:eastAsia="zh-TW"/>
        </w:rPr>
        <w:t>月</w:t>
      </w:r>
      <w:r>
        <w:rPr>
          <w:rFonts w:eastAsia="PMingLiU" w:cs="宋体"/>
          <w:sz w:val="22"/>
          <w:szCs w:val="22"/>
          <w:lang w:eastAsia="zh-TW"/>
        </w:rPr>
        <w:t>31</w:t>
      </w:r>
      <w:r>
        <w:rPr>
          <w:rFonts w:hint="eastAsia" w:eastAsia="PMingLiU" w:cs="宋体"/>
          <w:sz w:val="22"/>
          <w:szCs w:val="22"/>
          <w:lang w:eastAsia="zh-TW"/>
        </w:rPr>
        <w:t>日本集團無已逾期但未單獨計提壞賬準備的其他應收款。</w:t>
      </w:r>
    </w:p>
    <w:p>
      <w:pPr>
        <w:autoSpaceDE w:val="0"/>
        <w:autoSpaceDN w:val="0"/>
        <w:adjustRightInd w:val="0"/>
        <w:ind w:left="447" w:leftChars="213"/>
        <w:rPr>
          <w:sz w:val="22"/>
          <w:lang w:eastAsia="zh-TW"/>
        </w:rPr>
      </w:pPr>
    </w:p>
    <w:p>
      <w:pPr>
        <w:autoSpaceDE w:val="0"/>
        <w:autoSpaceDN w:val="0"/>
        <w:adjustRightInd w:val="0"/>
        <w:ind w:left="447" w:leftChars="213"/>
        <w:rPr>
          <w:sz w:val="22"/>
          <w:lang w:eastAsia="zh-TW"/>
        </w:rPr>
      </w:pPr>
    </w:p>
    <w:p>
      <w:pPr>
        <w:numPr>
          <w:ilvl w:val="0"/>
          <w:numId w:val="4"/>
        </w:numPr>
        <w:spacing w:line="320" w:lineRule="exact"/>
        <w:rPr>
          <w:b/>
          <w:sz w:val="22"/>
        </w:rPr>
      </w:pPr>
      <w:r>
        <w:rPr>
          <w:rFonts w:hint="eastAsia"/>
          <w:b/>
          <w:sz w:val="22"/>
        </w:rPr>
        <w:t>應付帳款</w:t>
      </w:r>
    </w:p>
    <w:p>
      <w:pPr>
        <w:spacing w:line="320" w:lineRule="exact"/>
        <w:rPr>
          <w:sz w:val="22"/>
          <w:lang w:eastAsia="zh-TW"/>
        </w:rPr>
      </w:pPr>
      <w:r>
        <w:rPr>
          <w:rFonts w:hint="eastAsia"/>
          <w:sz w:val="22"/>
          <w:lang w:eastAsia="zh-TW"/>
        </w:rPr>
        <w:t>應付帳款按其交易日期的賬齡分析如下：</w:t>
      </w:r>
    </w:p>
    <w:tbl>
      <w:tblPr>
        <w:tblW w:w="8536" w:type="dxa"/>
        <w:tblInd w:w="5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520"/>
        <w:gridCol w:w="2008"/>
        <w:gridCol w:w="2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20" w:type="dxa"/>
            <w:vAlign w:val="top"/>
          </w:tcPr>
          <w:p>
            <w:pPr>
              <w:spacing w:line="240" w:lineRule="exact"/>
              <w:jc w:val="center"/>
              <w:rPr>
                <w:sz w:val="22"/>
                <w:lang w:eastAsia="zh-TW"/>
              </w:rPr>
            </w:pPr>
          </w:p>
        </w:tc>
        <w:tc>
          <w:tcPr>
            <w:tcW w:w="2008" w:type="dxa"/>
            <w:vAlign w:val="top"/>
          </w:tcPr>
          <w:p>
            <w:pPr>
              <w:pBdr>
                <w:bottom w:val="single" w:color="auto" w:sz="4" w:space="0"/>
              </w:pBdr>
              <w:spacing w:line="240" w:lineRule="exact"/>
              <w:jc w:val="center"/>
              <w:rPr>
                <w:sz w:val="22"/>
              </w:rPr>
            </w:pPr>
            <w:r>
              <w:rPr>
                <w:rFonts w:hint="eastAsia"/>
                <w:sz w:val="22"/>
              </w:rPr>
              <w:t>二零一七年</w:t>
            </w:r>
          </w:p>
          <w:p>
            <w:pPr>
              <w:pBdr>
                <w:bottom w:val="single" w:color="auto" w:sz="4" w:space="0"/>
              </w:pBdr>
              <w:spacing w:line="240" w:lineRule="exact"/>
              <w:jc w:val="center"/>
              <w:rPr>
                <w:sz w:val="22"/>
              </w:rPr>
            </w:pPr>
            <w:r>
              <w:rPr>
                <w:rFonts w:hint="eastAsia"/>
                <w:sz w:val="22"/>
              </w:rPr>
              <w:t>十二月三十一日</w:t>
            </w:r>
          </w:p>
        </w:tc>
        <w:tc>
          <w:tcPr>
            <w:tcW w:w="2008" w:type="dxa"/>
            <w:vAlign w:val="top"/>
          </w:tcPr>
          <w:p>
            <w:pPr>
              <w:pBdr>
                <w:bottom w:val="single" w:color="auto" w:sz="4" w:space="0"/>
              </w:pBdr>
              <w:spacing w:line="240" w:lineRule="exact"/>
              <w:jc w:val="center"/>
              <w:rPr>
                <w:sz w:val="22"/>
              </w:rPr>
            </w:pPr>
            <w:r>
              <w:rPr>
                <w:rFonts w:hint="eastAsia"/>
                <w:sz w:val="22"/>
              </w:rPr>
              <w:t>二零一六年</w:t>
            </w:r>
          </w:p>
          <w:p>
            <w:pPr>
              <w:pBdr>
                <w:bottom w:val="single" w:color="auto" w:sz="4" w:space="0"/>
              </w:pBdr>
              <w:spacing w:line="240" w:lineRule="exact"/>
              <w:jc w:val="center"/>
              <w:rPr>
                <w:sz w:val="22"/>
                <w:u w:val="single"/>
              </w:rPr>
            </w:pPr>
            <w:r>
              <w:rPr>
                <w:rFonts w:hint="eastAsia"/>
                <w:sz w:val="22"/>
              </w:rPr>
              <w:t>十二月三十一日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20" w:type="dxa"/>
            <w:vAlign w:val="top"/>
          </w:tcPr>
          <w:p>
            <w:pPr>
              <w:spacing w:line="240" w:lineRule="exact"/>
              <w:rPr>
                <w:sz w:val="22"/>
              </w:rPr>
            </w:pPr>
          </w:p>
        </w:tc>
        <w:tc>
          <w:tcPr>
            <w:tcW w:w="2008" w:type="dxa"/>
            <w:vAlign w:val="top"/>
          </w:tcPr>
          <w:p>
            <w:pPr>
              <w:spacing w:line="240" w:lineRule="exact"/>
              <w:jc w:val="center"/>
              <w:rPr>
                <w:sz w:val="22"/>
              </w:rPr>
            </w:pPr>
            <w:r>
              <w:rPr>
                <w:rFonts w:hint="eastAsia"/>
                <w:sz w:val="22"/>
              </w:rPr>
              <w:t>人民幣元</w:t>
            </w:r>
          </w:p>
        </w:tc>
        <w:tc>
          <w:tcPr>
            <w:tcW w:w="2008" w:type="dxa"/>
            <w:vAlign w:val="top"/>
          </w:tcPr>
          <w:p>
            <w:pPr>
              <w:spacing w:line="240" w:lineRule="exact"/>
              <w:jc w:val="center"/>
              <w:rPr>
                <w:sz w:val="22"/>
              </w:rPr>
            </w:pPr>
            <w:r>
              <w:rPr>
                <w:rFonts w:hint="eastAsia"/>
                <w:sz w:val="22"/>
              </w:rPr>
              <w:t>人民幣元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20" w:type="dxa"/>
            <w:vAlign w:val="bottom"/>
          </w:tcPr>
          <w:p>
            <w:pPr>
              <w:rPr>
                <w:sz w:val="22"/>
              </w:rPr>
            </w:pPr>
            <w:r>
              <w:rPr>
                <w:sz w:val="22"/>
              </w:rPr>
              <w:t>1</w:t>
            </w:r>
            <w:r>
              <w:rPr>
                <w:rFonts w:hint="eastAsia"/>
                <w:sz w:val="22"/>
              </w:rPr>
              <w:t>年以內</w:t>
            </w:r>
          </w:p>
        </w:tc>
        <w:tc>
          <w:tcPr>
            <w:tcW w:w="2008" w:type="dxa"/>
            <w:vAlign w:val="center"/>
          </w:tcPr>
          <w:p>
            <w:pPr>
              <w:pStyle w:val="29"/>
              <w:spacing w:line="230" w:lineRule="exact"/>
              <w:jc w:val="right"/>
              <w:rPr>
                <w:rFonts w:ascii="Times New Roman" w:hAnsi="Times New Roman"/>
                <w:sz w:val="22"/>
              </w:rPr>
            </w:pPr>
            <w:r>
              <w:rPr>
                <w:rFonts w:ascii="Times New Roman" w:hAnsi="Times New Roman"/>
                <w:sz w:val="22"/>
              </w:rPr>
              <w:t xml:space="preserve">507,439,905.53 </w:t>
            </w:r>
          </w:p>
        </w:tc>
        <w:tc>
          <w:tcPr>
            <w:tcW w:w="2008" w:type="dxa"/>
            <w:vAlign w:val="center"/>
          </w:tcPr>
          <w:p>
            <w:pPr>
              <w:jc w:val="right"/>
              <w:rPr>
                <w:sz w:val="22"/>
              </w:rPr>
            </w:pPr>
            <w:r>
              <w:rPr>
                <w:sz w:val="22"/>
              </w:rPr>
              <w:t>414,778,212.02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520" w:type="dxa"/>
            <w:vAlign w:val="bottom"/>
          </w:tcPr>
          <w:p>
            <w:pPr>
              <w:rPr>
                <w:sz w:val="22"/>
              </w:rPr>
            </w:pPr>
            <w:r>
              <w:rPr>
                <w:sz w:val="22"/>
              </w:rPr>
              <w:t>1-2</w:t>
            </w:r>
            <w:r>
              <w:rPr>
                <w:rFonts w:hint="eastAsia"/>
                <w:sz w:val="22"/>
              </w:rPr>
              <w:t>年</w:t>
            </w:r>
          </w:p>
        </w:tc>
        <w:tc>
          <w:tcPr>
            <w:tcW w:w="2008" w:type="dxa"/>
            <w:vAlign w:val="center"/>
          </w:tcPr>
          <w:p>
            <w:pPr>
              <w:pStyle w:val="29"/>
              <w:spacing w:line="230" w:lineRule="exact"/>
              <w:jc w:val="right"/>
              <w:rPr>
                <w:rFonts w:ascii="Times New Roman" w:hAnsi="Times New Roman"/>
                <w:sz w:val="22"/>
              </w:rPr>
            </w:pPr>
            <w:r>
              <w:rPr>
                <w:rFonts w:ascii="Times New Roman" w:hAnsi="Times New Roman"/>
                <w:sz w:val="22"/>
              </w:rPr>
              <w:t xml:space="preserve">15,463,021.70 </w:t>
            </w:r>
          </w:p>
        </w:tc>
        <w:tc>
          <w:tcPr>
            <w:tcW w:w="2008" w:type="dxa"/>
            <w:vAlign w:val="center"/>
          </w:tcPr>
          <w:p>
            <w:pPr>
              <w:jc w:val="right"/>
              <w:rPr>
                <w:sz w:val="22"/>
              </w:rPr>
            </w:pPr>
            <w:r>
              <w:rPr>
                <w:sz w:val="22"/>
              </w:rPr>
              <w:t>11,147,066.41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20" w:type="dxa"/>
            <w:vAlign w:val="bottom"/>
          </w:tcPr>
          <w:p>
            <w:pPr>
              <w:rPr>
                <w:sz w:val="22"/>
              </w:rPr>
            </w:pPr>
            <w:r>
              <w:rPr>
                <w:sz w:val="22"/>
              </w:rPr>
              <w:t>2-3</w:t>
            </w:r>
            <w:r>
              <w:rPr>
                <w:rFonts w:hint="eastAsia"/>
                <w:sz w:val="22"/>
              </w:rPr>
              <w:t>年</w:t>
            </w:r>
          </w:p>
        </w:tc>
        <w:tc>
          <w:tcPr>
            <w:tcW w:w="2008" w:type="dxa"/>
            <w:vAlign w:val="center"/>
          </w:tcPr>
          <w:p>
            <w:pPr>
              <w:pStyle w:val="29"/>
              <w:spacing w:line="230" w:lineRule="exact"/>
              <w:jc w:val="right"/>
              <w:rPr>
                <w:rFonts w:ascii="Times New Roman" w:hAnsi="Times New Roman"/>
                <w:sz w:val="22"/>
              </w:rPr>
            </w:pPr>
            <w:r>
              <w:rPr>
                <w:rFonts w:ascii="Times New Roman" w:hAnsi="Times New Roman"/>
                <w:sz w:val="22"/>
              </w:rPr>
              <w:t xml:space="preserve">2,206,933.89 </w:t>
            </w:r>
          </w:p>
        </w:tc>
        <w:tc>
          <w:tcPr>
            <w:tcW w:w="2008" w:type="dxa"/>
            <w:vAlign w:val="center"/>
          </w:tcPr>
          <w:p>
            <w:pPr>
              <w:jc w:val="right"/>
              <w:rPr>
                <w:sz w:val="22"/>
              </w:rPr>
            </w:pPr>
            <w:r>
              <w:rPr>
                <w:sz w:val="22"/>
              </w:rPr>
              <w:t>1,924,616.11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520" w:type="dxa"/>
            <w:vAlign w:val="bottom"/>
          </w:tcPr>
          <w:p>
            <w:pPr>
              <w:rPr>
                <w:sz w:val="22"/>
              </w:rPr>
            </w:pPr>
            <w:r>
              <w:rPr>
                <w:sz w:val="22"/>
              </w:rPr>
              <w:t>3</w:t>
            </w:r>
            <w:r>
              <w:rPr>
                <w:rFonts w:hint="eastAsia"/>
                <w:sz w:val="22"/>
              </w:rPr>
              <w:t>年以上</w:t>
            </w:r>
          </w:p>
        </w:tc>
        <w:tc>
          <w:tcPr>
            <w:tcW w:w="2008" w:type="dxa"/>
            <w:tcBorders>
              <w:bottom w:val="single" w:color="auto" w:sz="4" w:space="0"/>
            </w:tcBorders>
            <w:vAlign w:val="center"/>
          </w:tcPr>
          <w:p>
            <w:pPr>
              <w:jc w:val="right"/>
              <w:rPr>
                <w:sz w:val="22"/>
              </w:rPr>
            </w:pPr>
            <w:r>
              <w:rPr>
                <w:sz w:val="22"/>
              </w:rPr>
              <w:t>4,955,336.12</w:t>
            </w:r>
          </w:p>
        </w:tc>
        <w:tc>
          <w:tcPr>
            <w:tcW w:w="2008" w:type="dxa"/>
            <w:vAlign w:val="center"/>
          </w:tcPr>
          <w:p>
            <w:pPr>
              <w:jc w:val="right"/>
              <w:rPr>
                <w:sz w:val="22"/>
              </w:rPr>
            </w:pPr>
            <w:r>
              <w:rPr>
                <w:sz w:val="22"/>
                <w:u w:val="single"/>
              </w:rPr>
              <w:t>5,266,308.34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20" w:type="dxa"/>
            <w:vAlign w:val="bottom"/>
          </w:tcPr>
          <w:p>
            <w:pPr>
              <w:rPr>
                <w:b/>
                <w:sz w:val="22"/>
              </w:rPr>
            </w:pPr>
            <w:r>
              <w:rPr>
                <w:rFonts w:hint="eastAsia"/>
                <w:b/>
                <w:sz w:val="22"/>
              </w:rPr>
              <w:t>合計</w:t>
            </w:r>
          </w:p>
        </w:tc>
        <w:tc>
          <w:tcPr>
            <w:tcW w:w="2008" w:type="dxa"/>
            <w:tcBorders>
              <w:top w:val="single" w:color="auto" w:sz="4" w:space="0"/>
            </w:tcBorders>
            <w:vAlign w:val="bottom"/>
          </w:tcPr>
          <w:p>
            <w:pPr>
              <w:pBdr>
                <w:bottom w:val="double" w:color="auto" w:sz="4" w:space="1"/>
              </w:pBdr>
              <w:jc w:val="right"/>
              <w:rPr>
                <w:b/>
                <w:sz w:val="22"/>
              </w:rPr>
            </w:pPr>
            <w:r>
              <w:rPr>
                <w:b/>
                <w:sz w:val="22"/>
              </w:rPr>
              <w:t>530,065,197.24</w:t>
            </w:r>
          </w:p>
        </w:tc>
        <w:tc>
          <w:tcPr>
            <w:tcW w:w="2008" w:type="dxa"/>
            <w:vAlign w:val="bottom"/>
          </w:tcPr>
          <w:p>
            <w:pPr>
              <w:pBdr>
                <w:bottom w:val="double" w:color="auto" w:sz="4" w:space="1"/>
              </w:pBdr>
              <w:jc w:val="right"/>
              <w:rPr>
                <w:b/>
                <w:sz w:val="22"/>
              </w:rPr>
            </w:pPr>
            <w:r>
              <w:rPr>
                <w:b/>
                <w:sz w:val="22"/>
              </w:rPr>
              <w:t>433,116,202.88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rPr>
        <w:tc>
          <w:tcPr>
            <w:tcW w:w="4520" w:type="dxa"/>
            <w:vAlign w:val="center"/>
          </w:tcPr>
          <w:p>
            <w:pPr>
              <w:rPr>
                <w:b/>
                <w:sz w:val="22"/>
              </w:rPr>
            </w:pPr>
          </w:p>
        </w:tc>
        <w:tc>
          <w:tcPr>
            <w:tcW w:w="2008" w:type="dxa"/>
            <w:vAlign w:val="center"/>
          </w:tcPr>
          <w:p>
            <w:pPr>
              <w:wordWrap w:val="0"/>
              <w:jc w:val="right"/>
              <w:rPr>
                <w:b/>
                <w:sz w:val="22"/>
                <w:u w:val="double"/>
              </w:rPr>
            </w:pPr>
          </w:p>
        </w:tc>
        <w:tc>
          <w:tcPr>
            <w:tcW w:w="2008" w:type="dxa"/>
            <w:vAlign w:val="center"/>
          </w:tcPr>
          <w:p>
            <w:pPr>
              <w:wordWrap w:val="0"/>
              <w:jc w:val="right"/>
              <w:rPr>
                <w:b/>
                <w:sz w:val="22"/>
                <w:u w:val="double"/>
              </w:rPr>
            </w:pPr>
          </w:p>
        </w:tc>
      </w:tr>
    </w:tbl>
    <w:p>
      <w:pPr>
        <w:spacing w:line="320" w:lineRule="exact"/>
        <w:rPr>
          <w:b/>
          <w:i/>
        </w:rPr>
      </w:pPr>
      <w:bookmarkStart w:id="5" w:name="OLE_LINK5"/>
      <w:bookmarkStart w:id="6" w:name="OLE_LINK9"/>
    </w:p>
    <w:p>
      <w:pPr>
        <w:numPr>
          <w:ilvl w:val="0"/>
          <w:numId w:val="4"/>
        </w:numPr>
        <w:spacing w:line="320" w:lineRule="exact"/>
        <w:rPr>
          <w:b/>
          <w:sz w:val="22"/>
        </w:rPr>
      </w:pPr>
      <w:r>
        <w:rPr>
          <w:rFonts w:hint="eastAsia"/>
          <w:b/>
          <w:sz w:val="22"/>
        </w:rPr>
        <w:t>應付職工薪酬</w:t>
      </w:r>
    </w:p>
    <w:p>
      <w:pPr>
        <w:spacing w:line="360" w:lineRule="exact"/>
        <w:ind w:firstLine="440" w:firstLineChars="200"/>
        <w:rPr>
          <w:sz w:val="22"/>
        </w:rPr>
      </w:pPr>
      <w:r>
        <w:rPr>
          <w:rFonts w:hint="eastAsia"/>
          <w:sz w:val="22"/>
        </w:rPr>
        <w:t>（</w:t>
      </w:r>
      <w:r>
        <w:rPr>
          <w:sz w:val="22"/>
        </w:rPr>
        <w:t>1</w:t>
      </w:r>
      <w:r>
        <w:rPr>
          <w:rFonts w:hint="eastAsia"/>
          <w:sz w:val="22"/>
        </w:rPr>
        <w:t>）應付職工薪酬分類</w:t>
      </w:r>
    </w:p>
    <w:tbl>
      <w:tblPr>
        <w:tblW w:w="8969" w:type="dxa"/>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150"/>
        <w:gridCol w:w="1990"/>
        <w:gridCol w:w="1597"/>
        <w:gridCol w:w="1608"/>
        <w:gridCol w:w="1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315" w:hRule="atLeast"/>
        </w:trPr>
        <w:tc>
          <w:tcPr>
            <w:tcW w:w="2150" w:type="dxa"/>
            <w:tcBorders>
              <w:top w:val="nil"/>
              <w:left w:val="nil"/>
              <w:bottom w:val="nil"/>
              <w:right w:val="nil"/>
            </w:tcBorders>
            <w:vAlign w:val="center"/>
          </w:tcPr>
          <w:p>
            <w:pPr>
              <w:widowControl/>
              <w:jc w:val="left"/>
              <w:rPr>
                <w:b/>
                <w:kern w:val="0"/>
                <w:sz w:val="22"/>
              </w:rPr>
            </w:pPr>
          </w:p>
        </w:tc>
        <w:tc>
          <w:tcPr>
            <w:tcW w:w="1990" w:type="dxa"/>
            <w:tcBorders>
              <w:top w:val="nil"/>
              <w:left w:val="nil"/>
              <w:bottom w:val="nil"/>
              <w:right w:val="nil"/>
            </w:tcBorders>
            <w:vAlign w:val="top"/>
          </w:tcPr>
          <w:p>
            <w:pPr>
              <w:widowControl/>
              <w:jc w:val="center"/>
              <w:rPr>
                <w:kern w:val="0"/>
                <w:sz w:val="20"/>
              </w:rPr>
            </w:pPr>
            <w:r>
              <w:rPr>
                <w:rFonts w:hint="eastAsia" w:cs="宋体"/>
                <w:kern w:val="0"/>
                <w:sz w:val="20"/>
                <w:szCs w:val="22"/>
                <w:lang w:eastAsia="zh-TW"/>
              </w:rPr>
              <w:t>二零一</w:t>
            </w:r>
            <w:r>
              <w:rPr>
                <w:rFonts w:hint="eastAsia" w:cs="宋体"/>
                <w:kern w:val="0"/>
                <w:sz w:val="20"/>
                <w:szCs w:val="22"/>
              </w:rPr>
              <w:t>六</w:t>
            </w:r>
            <w:r>
              <w:rPr>
                <w:rFonts w:hint="eastAsia" w:cs="宋体"/>
                <w:kern w:val="0"/>
                <w:sz w:val="20"/>
                <w:szCs w:val="22"/>
                <w:lang w:eastAsia="zh-TW"/>
              </w:rPr>
              <w:t>年十二月三十一日</w:t>
            </w:r>
          </w:p>
        </w:tc>
        <w:tc>
          <w:tcPr>
            <w:tcW w:w="1597" w:type="dxa"/>
            <w:tcBorders>
              <w:top w:val="nil"/>
              <w:left w:val="nil"/>
              <w:bottom w:val="nil"/>
              <w:right w:val="nil"/>
            </w:tcBorders>
            <w:vAlign w:val="top"/>
          </w:tcPr>
          <w:p>
            <w:pPr>
              <w:widowControl/>
              <w:jc w:val="center"/>
              <w:rPr>
                <w:kern w:val="0"/>
                <w:sz w:val="20"/>
              </w:rPr>
            </w:pPr>
            <w:r>
              <w:rPr>
                <w:rFonts w:hint="eastAsia"/>
                <w:kern w:val="0"/>
                <w:sz w:val="20"/>
              </w:rPr>
              <w:t>本年增加</w:t>
            </w:r>
          </w:p>
        </w:tc>
        <w:tc>
          <w:tcPr>
            <w:tcW w:w="1608" w:type="dxa"/>
            <w:tcBorders>
              <w:top w:val="nil"/>
              <w:left w:val="nil"/>
              <w:bottom w:val="nil"/>
              <w:right w:val="nil"/>
            </w:tcBorders>
            <w:vAlign w:val="top"/>
          </w:tcPr>
          <w:p>
            <w:pPr>
              <w:widowControl/>
              <w:jc w:val="center"/>
              <w:rPr>
                <w:kern w:val="0"/>
                <w:sz w:val="20"/>
              </w:rPr>
            </w:pPr>
            <w:r>
              <w:rPr>
                <w:rFonts w:hint="eastAsia"/>
                <w:kern w:val="0"/>
                <w:sz w:val="20"/>
              </w:rPr>
              <w:t>本年減少</w:t>
            </w:r>
          </w:p>
        </w:tc>
        <w:tc>
          <w:tcPr>
            <w:tcW w:w="1624" w:type="dxa"/>
            <w:tcBorders>
              <w:top w:val="nil"/>
              <w:left w:val="nil"/>
              <w:bottom w:val="nil"/>
              <w:right w:val="nil"/>
            </w:tcBorders>
            <w:vAlign w:val="top"/>
          </w:tcPr>
          <w:p>
            <w:pPr>
              <w:widowControl/>
              <w:jc w:val="center"/>
              <w:rPr>
                <w:kern w:val="0"/>
                <w:sz w:val="20"/>
              </w:rPr>
            </w:pPr>
            <w:r>
              <w:rPr>
                <w:rFonts w:hint="eastAsia" w:cs="宋体"/>
                <w:kern w:val="0"/>
                <w:sz w:val="20"/>
                <w:szCs w:val="22"/>
                <w:lang w:eastAsia="zh-TW"/>
              </w:rPr>
              <w:t>二零一</w:t>
            </w:r>
            <w:r>
              <w:rPr>
                <w:rFonts w:hint="eastAsia" w:cs="宋体"/>
                <w:kern w:val="0"/>
                <w:sz w:val="20"/>
                <w:szCs w:val="22"/>
              </w:rPr>
              <w:t>七</w:t>
            </w:r>
            <w:r>
              <w:rPr>
                <w:rFonts w:hint="eastAsia" w:cs="宋体"/>
                <w:kern w:val="0"/>
                <w:sz w:val="20"/>
                <w:szCs w:val="22"/>
                <w:lang w:eastAsia="zh-TW"/>
              </w:rPr>
              <w:t>年十二月三十一日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5" w:hRule="atLeast"/>
        </w:trPr>
        <w:tc>
          <w:tcPr>
            <w:tcW w:w="2150" w:type="dxa"/>
            <w:tcBorders>
              <w:top w:val="nil"/>
              <w:left w:val="nil"/>
              <w:bottom w:val="nil"/>
              <w:right w:val="nil"/>
            </w:tcBorders>
            <w:vAlign w:val="center"/>
          </w:tcPr>
          <w:p>
            <w:pPr>
              <w:widowControl/>
              <w:rPr>
                <w:kern w:val="0"/>
                <w:sz w:val="22"/>
              </w:rPr>
            </w:pPr>
          </w:p>
        </w:tc>
        <w:tc>
          <w:tcPr>
            <w:tcW w:w="1990" w:type="dxa"/>
            <w:tcBorders>
              <w:top w:val="nil"/>
              <w:left w:val="nil"/>
              <w:bottom w:val="nil"/>
              <w:right w:val="nil"/>
            </w:tcBorders>
            <w:vAlign w:val="top"/>
          </w:tcPr>
          <w:p>
            <w:pPr>
              <w:widowControl/>
              <w:jc w:val="center"/>
              <w:rPr>
                <w:kern w:val="0"/>
                <w:sz w:val="20"/>
              </w:rPr>
            </w:pPr>
            <w:r>
              <w:rPr>
                <w:rFonts w:hint="eastAsia"/>
                <w:kern w:val="0"/>
                <w:sz w:val="20"/>
              </w:rPr>
              <w:t>人民幣元</w:t>
            </w:r>
          </w:p>
        </w:tc>
        <w:tc>
          <w:tcPr>
            <w:tcW w:w="1597" w:type="dxa"/>
            <w:tcBorders>
              <w:top w:val="nil"/>
              <w:left w:val="nil"/>
              <w:bottom w:val="nil"/>
              <w:right w:val="nil"/>
            </w:tcBorders>
            <w:vAlign w:val="top"/>
          </w:tcPr>
          <w:p>
            <w:pPr>
              <w:widowControl/>
              <w:jc w:val="center"/>
              <w:rPr>
                <w:kern w:val="0"/>
                <w:sz w:val="20"/>
              </w:rPr>
            </w:pPr>
            <w:r>
              <w:rPr>
                <w:rFonts w:hint="eastAsia"/>
                <w:kern w:val="0"/>
                <w:sz w:val="20"/>
              </w:rPr>
              <w:t>人民幣元</w:t>
            </w:r>
          </w:p>
        </w:tc>
        <w:tc>
          <w:tcPr>
            <w:tcW w:w="1608" w:type="dxa"/>
            <w:tcBorders>
              <w:top w:val="nil"/>
              <w:left w:val="nil"/>
              <w:bottom w:val="nil"/>
              <w:right w:val="nil"/>
            </w:tcBorders>
            <w:vAlign w:val="top"/>
          </w:tcPr>
          <w:p>
            <w:pPr>
              <w:widowControl/>
              <w:jc w:val="center"/>
              <w:rPr>
                <w:kern w:val="0"/>
                <w:sz w:val="20"/>
              </w:rPr>
            </w:pPr>
            <w:r>
              <w:rPr>
                <w:rFonts w:hint="eastAsia"/>
                <w:kern w:val="0"/>
                <w:sz w:val="20"/>
              </w:rPr>
              <w:t>人民幣元</w:t>
            </w:r>
          </w:p>
        </w:tc>
        <w:tc>
          <w:tcPr>
            <w:tcW w:w="1624" w:type="dxa"/>
            <w:tcBorders>
              <w:top w:val="nil"/>
              <w:left w:val="nil"/>
              <w:bottom w:val="nil"/>
              <w:right w:val="nil"/>
            </w:tcBorders>
            <w:vAlign w:val="top"/>
          </w:tcPr>
          <w:p>
            <w:pPr>
              <w:widowControl/>
              <w:jc w:val="center"/>
              <w:rPr>
                <w:kern w:val="0"/>
                <w:sz w:val="20"/>
              </w:rPr>
            </w:pPr>
            <w:r>
              <w:rPr>
                <w:rFonts w:hint="eastAsia"/>
                <w:kern w:val="0"/>
                <w:sz w:val="20"/>
              </w:rPr>
              <w:t>人民幣元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491" w:hRule="atLeast"/>
        </w:trPr>
        <w:tc>
          <w:tcPr>
            <w:tcW w:w="2150" w:type="dxa"/>
            <w:vMerge w:val="restart"/>
            <w:tcBorders>
              <w:top w:val="nil"/>
              <w:left w:val="nil"/>
              <w:bottom w:val="nil"/>
              <w:right w:val="nil"/>
            </w:tcBorders>
            <w:vAlign w:val="bottom"/>
          </w:tcPr>
          <w:p>
            <w:pPr>
              <w:widowControl/>
              <w:rPr>
                <w:kern w:val="0"/>
                <w:sz w:val="22"/>
              </w:rPr>
            </w:pPr>
            <w:r>
              <w:rPr>
                <w:rFonts w:hint="eastAsia"/>
                <w:kern w:val="0"/>
                <w:sz w:val="22"/>
              </w:rPr>
              <w:t>短期薪酬</w:t>
            </w:r>
          </w:p>
        </w:tc>
        <w:tc>
          <w:tcPr>
            <w:tcW w:w="1990" w:type="dxa"/>
            <w:vMerge w:val="restart"/>
            <w:tcBorders>
              <w:top w:val="nil"/>
              <w:left w:val="nil"/>
              <w:bottom w:val="nil"/>
              <w:right w:val="nil"/>
            </w:tcBorders>
            <w:vAlign w:val="center"/>
          </w:tcPr>
          <w:p>
            <w:pPr>
              <w:jc w:val="right"/>
              <w:rPr>
                <w:sz w:val="22"/>
              </w:rPr>
            </w:pPr>
            <w:r>
              <w:rPr>
                <w:sz w:val="22"/>
              </w:rPr>
              <w:t>66,078,587.82</w:t>
            </w:r>
          </w:p>
        </w:tc>
        <w:tc>
          <w:tcPr>
            <w:tcW w:w="1597" w:type="dxa"/>
            <w:vMerge w:val="restart"/>
            <w:tcBorders>
              <w:top w:val="nil"/>
              <w:left w:val="nil"/>
              <w:bottom w:val="nil"/>
              <w:right w:val="nil"/>
            </w:tcBorders>
            <w:vAlign w:val="center"/>
          </w:tcPr>
          <w:p>
            <w:pPr>
              <w:jc w:val="right"/>
              <w:rPr>
                <w:sz w:val="22"/>
              </w:rPr>
            </w:pPr>
            <w:r>
              <w:rPr>
                <w:sz w:val="22"/>
              </w:rPr>
              <w:t xml:space="preserve">546,892,597.37 </w:t>
            </w:r>
          </w:p>
        </w:tc>
        <w:tc>
          <w:tcPr>
            <w:tcW w:w="1608" w:type="dxa"/>
            <w:vMerge w:val="restart"/>
            <w:tcBorders>
              <w:top w:val="nil"/>
              <w:left w:val="nil"/>
              <w:bottom w:val="nil"/>
              <w:right w:val="nil"/>
            </w:tcBorders>
            <w:vAlign w:val="center"/>
          </w:tcPr>
          <w:p>
            <w:pPr>
              <w:jc w:val="right"/>
              <w:rPr>
                <w:sz w:val="22"/>
              </w:rPr>
            </w:pPr>
            <w:r>
              <w:rPr>
                <w:sz w:val="22"/>
              </w:rPr>
              <w:t xml:space="preserve">544,510,441.46 </w:t>
            </w:r>
          </w:p>
        </w:tc>
        <w:tc>
          <w:tcPr>
            <w:tcW w:w="1624" w:type="dxa"/>
            <w:vMerge w:val="restart"/>
            <w:tcBorders>
              <w:top w:val="nil"/>
              <w:left w:val="nil"/>
              <w:bottom w:val="nil"/>
              <w:right w:val="nil"/>
            </w:tcBorders>
            <w:vAlign w:val="center"/>
          </w:tcPr>
          <w:p>
            <w:pPr>
              <w:widowControl/>
              <w:spacing w:before="100" w:beforeAutospacing="1" w:after="100" w:afterAutospacing="1"/>
              <w:jc w:val="right"/>
              <w:rPr>
                <w:sz w:val="22"/>
              </w:rPr>
            </w:pPr>
            <w:r>
              <w:rPr>
                <w:kern w:val="0"/>
                <w:sz w:val="22"/>
              </w:rPr>
              <w:t xml:space="preserve">68,460,743.73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491" w:hRule="atLeast"/>
        </w:trPr>
        <w:tc>
          <w:tcPr>
            <w:tcW w:w="2150" w:type="dxa"/>
            <w:vMerge w:val="continue"/>
            <w:tcBorders>
              <w:top w:val="nil"/>
              <w:left w:val="nil"/>
              <w:bottom w:val="nil"/>
              <w:right w:val="nil"/>
            </w:tcBorders>
            <w:vAlign w:val="center"/>
          </w:tcPr>
          <w:p>
            <w:pPr>
              <w:widowControl/>
              <w:jc w:val="left"/>
              <w:rPr>
                <w:kern w:val="0"/>
                <w:sz w:val="22"/>
              </w:rPr>
            </w:pPr>
          </w:p>
        </w:tc>
        <w:tc>
          <w:tcPr>
            <w:tcW w:w="1990" w:type="dxa"/>
            <w:vMerge w:val="continue"/>
            <w:tcBorders>
              <w:top w:val="nil"/>
              <w:left w:val="nil"/>
              <w:bottom w:val="nil"/>
              <w:right w:val="nil"/>
            </w:tcBorders>
            <w:vAlign w:val="center"/>
          </w:tcPr>
          <w:p>
            <w:pPr>
              <w:jc w:val="right"/>
              <w:rPr>
                <w:sz w:val="22"/>
              </w:rPr>
            </w:pPr>
          </w:p>
        </w:tc>
        <w:tc>
          <w:tcPr>
            <w:tcW w:w="1597" w:type="dxa"/>
            <w:vMerge w:val="continue"/>
            <w:tcBorders>
              <w:top w:val="nil"/>
              <w:left w:val="nil"/>
              <w:bottom w:val="nil"/>
              <w:right w:val="nil"/>
            </w:tcBorders>
            <w:vAlign w:val="center"/>
          </w:tcPr>
          <w:p>
            <w:pPr>
              <w:jc w:val="right"/>
              <w:rPr>
                <w:sz w:val="22"/>
              </w:rPr>
            </w:pPr>
          </w:p>
        </w:tc>
        <w:tc>
          <w:tcPr>
            <w:tcW w:w="1608" w:type="dxa"/>
            <w:vMerge w:val="continue"/>
            <w:tcBorders>
              <w:top w:val="nil"/>
              <w:left w:val="nil"/>
              <w:bottom w:val="nil"/>
              <w:right w:val="nil"/>
            </w:tcBorders>
            <w:vAlign w:val="center"/>
          </w:tcPr>
          <w:p>
            <w:pPr>
              <w:jc w:val="right"/>
              <w:rPr>
                <w:sz w:val="22"/>
              </w:rPr>
            </w:pPr>
          </w:p>
        </w:tc>
        <w:tc>
          <w:tcPr>
            <w:tcW w:w="1624" w:type="dxa"/>
            <w:vMerge w:val="continue"/>
            <w:tcBorders>
              <w:top w:val="nil"/>
              <w:left w:val="nil"/>
              <w:bottom w:val="nil"/>
              <w:right w:val="nil"/>
            </w:tcBorders>
            <w:vAlign w:val="center"/>
          </w:tcPr>
          <w:p>
            <w:pPr>
              <w:jc w:val="right"/>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491" w:hRule="atLeast"/>
        </w:trPr>
        <w:tc>
          <w:tcPr>
            <w:tcW w:w="2150" w:type="dxa"/>
            <w:vMerge w:val="restart"/>
            <w:tcBorders>
              <w:top w:val="nil"/>
              <w:left w:val="nil"/>
              <w:bottom w:val="nil"/>
              <w:right w:val="nil"/>
            </w:tcBorders>
            <w:vAlign w:val="center"/>
          </w:tcPr>
          <w:p>
            <w:pPr>
              <w:widowControl/>
              <w:jc w:val="left"/>
              <w:rPr>
                <w:kern w:val="0"/>
                <w:sz w:val="22"/>
                <w:lang w:eastAsia="zh-TW"/>
              </w:rPr>
            </w:pPr>
            <w:r>
              <w:rPr>
                <w:rFonts w:hint="eastAsia"/>
                <w:kern w:val="0"/>
                <w:sz w:val="22"/>
                <w:lang w:eastAsia="zh-TW"/>
              </w:rPr>
              <w:t>離職後福利</w:t>
            </w:r>
            <w:r>
              <w:rPr>
                <w:kern w:val="0"/>
                <w:sz w:val="22"/>
                <w:lang w:eastAsia="zh-TW"/>
              </w:rPr>
              <w:t>-設定提存</w:t>
            </w:r>
            <w:r>
              <w:rPr>
                <w:rFonts w:hint="eastAsia" w:cs="宋体"/>
                <w:kern w:val="0"/>
                <w:sz w:val="22"/>
                <w:szCs w:val="22"/>
                <w:lang w:eastAsia="zh-TW"/>
              </w:rPr>
              <w:t>計劃</w:t>
            </w:r>
          </w:p>
        </w:tc>
        <w:tc>
          <w:tcPr>
            <w:tcW w:w="1990" w:type="dxa"/>
            <w:vMerge w:val="restart"/>
            <w:tcBorders>
              <w:top w:val="nil"/>
              <w:left w:val="nil"/>
              <w:bottom w:val="nil"/>
              <w:right w:val="nil"/>
            </w:tcBorders>
            <w:vAlign w:val="center"/>
          </w:tcPr>
          <w:p>
            <w:pPr>
              <w:jc w:val="center"/>
              <w:rPr>
                <w:sz w:val="22"/>
              </w:rPr>
            </w:pPr>
            <w:r>
              <w:rPr>
                <w:sz w:val="22"/>
              </w:rPr>
              <w:t>-</w:t>
            </w:r>
          </w:p>
        </w:tc>
        <w:tc>
          <w:tcPr>
            <w:tcW w:w="1597" w:type="dxa"/>
            <w:vMerge w:val="restart"/>
            <w:tcBorders>
              <w:top w:val="nil"/>
              <w:left w:val="nil"/>
              <w:bottom w:val="nil"/>
              <w:right w:val="nil"/>
            </w:tcBorders>
            <w:vAlign w:val="center"/>
          </w:tcPr>
          <w:p>
            <w:pPr>
              <w:jc w:val="center"/>
              <w:rPr>
                <w:sz w:val="22"/>
              </w:rPr>
            </w:pPr>
            <w:r>
              <w:rPr>
                <w:sz w:val="22"/>
              </w:rPr>
              <w:t>58,517,532.60</w:t>
            </w:r>
          </w:p>
          <w:p>
            <w:pPr>
              <w:jc w:val="center"/>
              <w:rPr>
                <w:sz w:val="22"/>
              </w:rPr>
            </w:pPr>
          </w:p>
        </w:tc>
        <w:tc>
          <w:tcPr>
            <w:tcW w:w="1608" w:type="dxa"/>
            <w:vMerge w:val="restart"/>
            <w:tcBorders>
              <w:top w:val="nil"/>
              <w:left w:val="nil"/>
              <w:bottom w:val="nil"/>
              <w:right w:val="nil"/>
            </w:tcBorders>
            <w:vAlign w:val="center"/>
          </w:tcPr>
          <w:p>
            <w:pPr>
              <w:jc w:val="center"/>
              <w:rPr>
                <w:sz w:val="22"/>
              </w:rPr>
            </w:pPr>
            <w:r>
              <w:rPr>
                <w:sz w:val="22"/>
              </w:rPr>
              <w:t>58,517,532.60</w:t>
            </w:r>
          </w:p>
          <w:p>
            <w:pPr>
              <w:jc w:val="center"/>
              <w:rPr>
                <w:sz w:val="22"/>
              </w:rPr>
            </w:pPr>
          </w:p>
        </w:tc>
        <w:tc>
          <w:tcPr>
            <w:tcW w:w="1624" w:type="dxa"/>
            <w:vMerge w:val="restart"/>
            <w:tcBorders>
              <w:top w:val="nil"/>
              <w:left w:val="nil"/>
              <w:bottom w:val="nil"/>
              <w:right w:val="nil"/>
            </w:tcBorders>
            <w:vAlign w:val="center"/>
          </w:tcPr>
          <w:p>
            <w:pPr>
              <w:jc w:val="center"/>
              <w:rPr>
                <w:sz w:val="22"/>
              </w:rPr>
            </w:pPr>
            <w:r>
              <w:rPr>
                <w:sz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491" w:hRule="atLeast"/>
        </w:trPr>
        <w:tc>
          <w:tcPr>
            <w:tcW w:w="2150" w:type="dxa"/>
            <w:vMerge w:val="continue"/>
            <w:tcBorders>
              <w:top w:val="nil"/>
              <w:left w:val="nil"/>
              <w:bottom w:val="nil"/>
              <w:right w:val="nil"/>
            </w:tcBorders>
            <w:vAlign w:val="center"/>
          </w:tcPr>
          <w:p>
            <w:pPr>
              <w:widowControl/>
              <w:jc w:val="left"/>
              <w:rPr>
                <w:kern w:val="0"/>
                <w:sz w:val="22"/>
              </w:rPr>
            </w:pPr>
          </w:p>
        </w:tc>
        <w:tc>
          <w:tcPr>
            <w:tcW w:w="1990" w:type="dxa"/>
            <w:vMerge w:val="continue"/>
            <w:tcBorders>
              <w:top w:val="nil"/>
              <w:left w:val="nil"/>
              <w:bottom w:val="nil"/>
              <w:right w:val="nil"/>
            </w:tcBorders>
            <w:vAlign w:val="center"/>
          </w:tcPr>
          <w:p>
            <w:pPr>
              <w:jc w:val="right"/>
              <w:rPr>
                <w:sz w:val="22"/>
              </w:rPr>
            </w:pPr>
          </w:p>
        </w:tc>
        <w:tc>
          <w:tcPr>
            <w:tcW w:w="1597" w:type="dxa"/>
            <w:vMerge w:val="continue"/>
            <w:tcBorders>
              <w:top w:val="nil"/>
              <w:left w:val="nil"/>
              <w:bottom w:val="nil"/>
              <w:right w:val="nil"/>
            </w:tcBorders>
            <w:vAlign w:val="center"/>
          </w:tcPr>
          <w:p>
            <w:pPr>
              <w:jc w:val="right"/>
              <w:rPr>
                <w:sz w:val="22"/>
              </w:rPr>
            </w:pPr>
          </w:p>
        </w:tc>
        <w:tc>
          <w:tcPr>
            <w:tcW w:w="1608" w:type="dxa"/>
            <w:vMerge w:val="continue"/>
            <w:tcBorders>
              <w:top w:val="nil"/>
              <w:left w:val="nil"/>
              <w:bottom w:val="nil"/>
              <w:right w:val="nil"/>
            </w:tcBorders>
            <w:vAlign w:val="center"/>
          </w:tcPr>
          <w:p>
            <w:pPr>
              <w:jc w:val="right"/>
              <w:rPr>
                <w:sz w:val="22"/>
              </w:rPr>
            </w:pPr>
          </w:p>
        </w:tc>
        <w:tc>
          <w:tcPr>
            <w:tcW w:w="1624" w:type="dxa"/>
            <w:vMerge w:val="continue"/>
            <w:tcBorders>
              <w:top w:val="nil"/>
              <w:left w:val="nil"/>
              <w:bottom w:val="nil"/>
              <w:right w:val="nil"/>
            </w:tcBorders>
            <w:vAlign w:val="center"/>
          </w:tcPr>
          <w:p>
            <w:pPr>
              <w:jc w:val="right"/>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491" w:hRule="atLeast"/>
        </w:trPr>
        <w:tc>
          <w:tcPr>
            <w:tcW w:w="2150" w:type="dxa"/>
            <w:vMerge w:val="continue"/>
            <w:tcBorders>
              <w:top w:val="nil"/>
              <w:left w:val="nil"/>
              <w:bottom w:val="nil"/>
              <w:right w:val="nil"/>
            </w:tcBorders>
            <w:vAlign w:val="center"/>
          </w:tcPr>
          <w:p>
            <w:pPr>
              <w:widowControl/>
              <w:jc w:val="left"/>
              <w:rPr>
                <w:kern w:val="0"/>
                <w:sz w:val="22"/>
              </w:rPr>
            </w:pPr>
          </w:p>
        </w:tc>
        <w:tc>
          <w:tcPr>
            <w:tcW w:w="1990" w:type="dxa"/>
            <w:vMerge w:val="continue"/>
            <w:tcBorders>
              <w:top w:val="nil"/>
              <w:left w:val="nil"/>
              <w:right w:val="nil"/>
            </w:tcBorders>
            <w:vAlign w:val="center"/>
          </w:tcPr>
          <w:p>
            <w:pPr>
              <w:jc w:val="right"/>
              <w:rPr>
                <w:sz w:val="22"/>
              </w:rPr>
            </w:pPr>
          </w:p>
        </w:tc>
        <w:tc>
          <w:tcPr>
            <w:tcW w:w="1597" w:type="dxa"/>
            <w:vMerge w:val="continue"/>
            <w:tcBorders>
              <w:top w:val="nil"/>
              <w:left w:val="nil"/>
              <w:right w:val="nil"/>
            </w:tcBorders>
            <w:vAlign w:val="center"/>
          </w:tcPr>
          <w:p>
            <w:pPr>
              <w:jc w:val="right"/>
              <w:rPr>
                <w:sz w:val="22"/>
              </w:rPr>
            </w:pPr>
          </w:p>
        </w:tc>
        <w:tc>
          <w:tcPr>
            <w:tcW w:w="1608" w:type="dxa"/>
            <w:vMerge w:val="continue"/>
            <w:tcBorders>
              <w:top w:val="nil"/>
              <w:left w:val="nil"/>
              <w:right w:val="nil"/>
            </w:tcBorders>
            <w:vAlign w:val="center"/>
          </w:tcPr>
          <w:p>
            <w:pPr>
              <w:jc w:val="right"/>
              <w:rPr>
                <w:sz w:val="22"/>
              </w:rPr>
            </w:pPr>
          </w:p>
        </w:tc>
        <w:tc>
          <w:tcPr>
            <w:tcW w:w="1624" w:type="dxa"/>
            <w:vMerge w:val="continue"/>
            <w:tcBorders>
              <w:top w:val="nil"/>
              <w:left w:val="nil"/>
              <w:right w:val="nil"/>
            </w:tcBorders>
            <w:vAlign w:val="center"/>
          </w:tcPr>
          <w:p>
            <w:pPr>
              <w:jc w:val="right"/>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491" w:hRule="atLeast"/>
        </w:trPr>
        <w:tc>
          <w:tcPr>
            <w:tcW w:w="2150" w:type="dxa"/>
            <w:vMerge w:val="restart"/>
            <w:tcBorders>
              <w:top w:val="nil"/>
              <w:left w:val="nil"/>
              <w:bottom w:val="nil"/>
              <w:right w:val="nil"/>
            </w:tcBorders>
            <w:vAlign w:val="bottom"/>
          </w:tcPr>
          <w:p>
            <w:pPr>
              <w:widowControl/>
              <w:rPr>
                <w:kern w:val="0"/>
                <w:sz w:val="22"/>
              </w:rPr>
            </w:pPr>
            <w:r>
              <w:rPr>
                <w:rFonts w:hint="eastAsia"/>
                <w:kern w:val="0"/>
                <w:sz w:val="22"/>
              </w:rPr>
              <w:t>辭退福利</w:t>
            </w:r>
          </w:p>
        </w:tc>
        <w:tc>
          <w:tcPr>
            <w:tcW w:w="1990" w:type="dxa"/>
            <w:vMerge w:val="restart"/>
            <w:tcBorders>
              <w:top w:val="nil"/>
              <w:left w:val="nil"/>
              <w:bottom w:val="single" w:color="auto" w:sz="4" w:space="0"/>
              <w:right w:val="nil"/>
            </w:tcBorders>
            <w:vAlign w:val="bottom"/>
          </w:tcPr>
          <w:p>
            <w:pPr>
              <w:jc w:val="right"/>
              <w:rPr>
                <w:sz w:val="22"/>
              </w:rPr>
            </w:pPr>
            <w:r>
              <w:rPr>
                <w:sz w:val="22"/>
              </w:rPr>
              <w:t>-</w:t>
            </w:r>
          </w:p>
        </w:tc>
        <w:tc>
          <w:tcPr>
            <w:tcW w:w="1597" w:type="dxa"/>
            <w:vMerge w:val="restart"/>
            <w:tcBorders>
              <w:top w:val="nil"/>
              <w:left w:val="nil"/>
              <w:bottom w:val="single" w:color="auto" w:sz="4" w:space="0"/>
              <w:right w:val="nil"/>
            </w:tcBorders>
            <w:vAlign w:val="bottom"/>
          </w:tcPr>
          <w:p>
            <w:pPr>
              <w:jc w:val="right"/>
              <w:rPr>
                <w:sz w:val="22"/>
              </w:rPr>
            </w:pPr>
            <w:r>
              <w:rPr>
                <w:kern w:val="0"/>
                <w:sz w:val="22"/>
              </w:rPr>
              <w:t xml:space="preserve">122,192.00 </w:t>
            </w:r>
          </w:p>
        </w:tc>
        <w:tc>
          <w:tcPr>
            <w:tcW w:w="1608" w:type="dxa"/>
            <w:vMerge w:val="restart"/>
            <w:tcBorders>
              <w:top w:val="nil"/>
              <w:left w:val="nil"/>
              <w:bottom w:val="single" w:color="auto" w:sz="4" w:space="0"/>
              <w:right w:val="nil"/>
            </w:tcBorders>
            <w:vAlign w:val="bottom"/>
          </w:tcPr>
          <w:p>
            <w:pPr>
              <w:jc w:val="right"/>
              <w:rPr>
                <w:sz w:val="22"/>
              </w:rPr>
            </w:pPr>
            <w:r>
              <w:rPr>
                <w:kern w:val="0"/>
                <w:sz w:val="22"/>
              </w:rPr>
              <w:t xml:space="preserve">122,192.00 </w:t>
            </w:r>
          </w:p>
        </w:tc>
        <w:tc>
          <w:tcPr>
            <w:tcW w:w="1624" w:type="dxa"/>
            <w:vMerge w:val="restart"/>
            <w:tcBorders>
              <w:top w:val="nil"/>
              <w:left w:val="nil"/>
              <w:bottom w:val="single" w:color="auto" w:sz="4" w:space="0"/>
              <w:right w:val="nil"/>
            </w:tcBorders>
            <w:vAlign w:val="bottom"/>
          </w:tcPr>
          <w:p>
            <w:pPr>
              <w:jc w:val="right"/>
              <w:rPr>
                <w:sz w:val="22"/>
              </w:rPr>
            </w:pPr>
            <w:r>
              <w:rPr>
                <w:sz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604" w:hRule="atLeast"/>
        </w:trPr>
        <w:tc>
          <w:tcPr>
            <w:tcW w:w="2150" w:type="dxa"/>
            <w:vMerge w:val="continue"/>
            <w:tcBorders>
              <w:top w:val="nil"/>
              <w:left w:val="nil"/>
              <w:bottom w:val="nil"/>
              <w:right w:val="nil"/>
            </w:tcBorders>
            <w:vAlign w:val="center"/>
          </w:tcPr>
          <w:p>
            <w:pPr>
              <w:widowControl/>
              <w:jc w:val="left"/>
              <w:rPr>
                <w:kern w:val="0"/>
                <w:sz w:val="22"/>
              </w:rPr>
            </w:pPr>
          </w:p>
        </w:tc>
        <w:tc>
          <w:tcPr>
            <w:tcW w:w="1990" w:type="dxa"/>
            <w:vMerge w:val="continue"/>
            <w:tcBorders>
              <w:top w:val="nil"/>
              <w:left w:val="nil"/>
              <w:bottom w:val="single" w:color="auto" w:sz="4" w:space="0"/>
              <w:right w:val="nil"/>
            </w:tcBorders>
            <w:vAlign w:val="center"/>
          </w:tcPr>
          <w:p>
            <w:pPr>
              <w:widowControl/>
              <w:jc w:val="left"/>
              <w:rPr>
                <w:kern w:val="0"/>
                <w:sz w:val="18"/>
              </w:rPr>
            </w:pPr>
          </w:p>
        </w:tc>
        <w:tc>
          <w:tcPr>
            <w:tcW w:w="1597" w:type="dxa"/>
            <w:vMerge w:val="continue"/>
            <w:tcBorders>
              <w:top w:val="nil"/>
              <w:left w:val="nil"/>
              <w:bottom w:val="single" w:color="auto" w:sz="4" w:space="0"/>
              <w:right w:val="nil"/>
            </w:tcBorders>
            <w:vAlign w:val="center"/>
          </w:tcPr>
          <w:p>
            <w:pPr>
              <w:widowControl/>
              <w:jc w:val="left"/>
              <w:rPr>
                <w:kern w:val="0"/>
                <w:sz w:val="18"/>
              </w:rPr>
            </w:pPr>
          </w:p>
        </w:tc>
        <w:tc>
          <w:tcPr>
            <w:tcW w:w="1608" w:type="dxa"/>
            <w:vMerge w:val="continue"/>
            <w:tcBorders>
              <w:top w:val="nil"/>
              <w:left w:val="nil"/>
              <w:bottom w:val="single" w:color="auto" w:sz="4" w:space="0"/>
              <w:right w:val="nil"/>
            </w:tcBorders>
            <w:vAlign w:val="center"/>
          </w:tcPr>
          <w:p>
            <w:pPr>
              <w:widowControl/>
              <w:jc w:val="left"/>
              <w:rPr>
                <w:kern w:val="0"/>
                <w:sz w:val="18"/>
              </w:rPr>
            </w:pPr>
          </w:p>
        </w:tc>
        <w:tc>
          <w:tcPr>
            <w:tcW w:w="1624" w:type="dxa"/>
            <w:vMerge w:val="continue"/>
            <w:tcBorders>
              <w:top w:val="nil"/>
              <w:left w:val="nil"/>
              <w:bottom w:val="single" w:color="auto" w:sz="4" w:space="0"/>
              <w:right w:val="nil"/>
            </w:tcBorders>
            <w:vAlign w:val="center"/>
          </w:tcPr>
          <w:p>
            <w:pPr>
              <w:widowControl/>
              <w:jc w:val="left"/>
              <w:rPr>
                <w:kern w:val="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491" w:hRule="atLeast"/>
        </w:trPr>
        <w:tc>
          <w:tcPr>
            <w:tcW w:w="2150" w:type="dxa"/>
            <w:vMerge w:val="restart"/>
            <w:tcBorders>
              <w:top w:val="nil"/>
              <w:left w:val="nil"/>
              <w:bottom w:val="nil"/>
              <w:right w:val="nil"/>
            </w:tcBorders>
            <w:vAlign w:val="bottom"/>
          </w:tcPr>
          <w:p>
            <w:pPr>
              <w:widowControl/>
              <w:rPr>
                <w:b/>
                <w:kern w:val="0"/>
                <w:sz w:val="22"/>
              </w:rPr>
            </w:pPr>
            <w:r>
              <w:rPr>
                <w:rFonts w:hint="eastAsia"/>
                <w:b/>
                <w:kern w:val="0"/>
                <w:sz w:val="22"/>
              </w:rPr>
              <w:t>合計</w:t>
            </w:r>
          </w:p>
        </w:tc>
        <w:tc>
          <w:tcPr>
            <w:tcW w:w="1990" w:type="dxa"/>
            <w:vMerge w:val="restart"/>
            <w:tcBorders>
              <w:top w:val="single" w:color="auto" w:sz="4" w:space="0"/>
              <w:left w:val="nil"/>
              <w:bottom w:val="double" w:color="auto" w:sz="2" w:space="0"/>
              <w:right w:val="nil"/>
            </w:tcBorders>
            <w:vAlign w:val="bottom"/>
          </w:tcPr>
          <w:p>
            <w:pPr>
              <w:jc w:val="right"/>
              <w:rPr>
                <w:b/>
                <w:sz w:val="22"/>
              </w:rPr>
            </w:pPr>
            <w:r>
              <w:rPr>
                <w:b/>
                <w:kern w:val="0"/>
                <w:sz w:val="22"/>
              </w:rPr>
              <w:t>66,078,587.82</w:t>
            </w:r>
          </w:p>
        </w:tc>
        <w:tc>
          <w:tcPr>
            <w:tcW w:w="1597" w:type="dxa"/>
            <w:vMerge w:val="restart"/>
            <w:tcBorders>
              <w:top w:val="single" w:color="auto" w:sz="4" w:space="0"/>
              <w:left w:val="nil"/>
              <w:bottom w:val="double" w:color="auto" w:sz="2" w:space="0"/>
              <w:right w:val="nil"/>
            </w:tcBorders>
            <w:vAlign w:val="bottom"/>
          </w:tcPr>
          <w:p>
            <w:pPr>
              <w:jc w:val="right"/>
              <w:rPr>
                <w:b/>
                <w:sz w:val="22"/>
              </w:rPr>
            </w:pPr>
            <w:r>
              <w:rPr>
                <w:b/>
                <w:kern w:val="0"/>
                <w:sz w:val="22"/>
              </w:rPr>
              <w:t>605,532,321.97</w:t>
            </w:r>
          </w:p>
        </w:tc>
        <w:tc>
          <w:tcPr>
            <w:tcW w:w="1608" w:type="dxa"/>
            <w:vMerge w:val="restart"/>
            <w:tcBorders>
              <w:top w:val="single" w:color="auto" w:sz="4" w:space="0"/>
              <w:left w:val="nil"/>
              <w:bottom w:val="double" w:color="auto" w:sz="2" w:space="0"/>
              <w:right w:val="nil"/>
            </w:tcBorders>
            <w:vAlign w:val="bottom"/>
          </w:tcPr>
          <w:p>
            <w:pPr>
              <w:jc w:val="right"/>
              <w:rPr>
                <w:b/>
                <w:sz w:val="22"/>
              </w:rPr>
            </w:pPr>
            <w:r>
              <w:rPr>
                <w:b/>
                <w:kern w:val="0"/>
                <w:sz w:val="22"/>
              </w:rPr>
              <w:t>603,150,166.06</w:t>
            </w:r>
          </w:p>
        </w:tc>
        <w:tc>
          <w:tcPr>
            <w:tcW w:w="1624" w:type="dxa"/>
            <w:vMerge w:val="restart"/>
            <w:tcBorders>
              <w:top w:val="single" w:color="auto" w:sz="4" w:space="0"/>
              <w:left w:val="nil"/>
              <w:bottom w:val="double" w:color="auto" w:sz="2" w:space="0"/>
              <w:right w:val="nil"/>
            </w:tcBorders>
            <w:vAlign w:val="bottom"/>
          </w:tcPr>
          <w:p>
            <w:pPr>
              <w:jc w:val="right"/>
              <w:rPr>
                <w:b/>
                <w:sz w:val="22"/>
              </w:rPr>
            </w:pPr>
            <w:r>
              <w:rPr>
                <w:b/>
                <w:kern w:val="0"/>
                <w:sz w:val="22"/>
              </w:rPr>
              <w:t>68,460,743.73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491" w:hRule="atLeast"/>
        </w:trPr>
        <w:tc>
          <w:tcPr>
            <w:tcW w:w="2150" w:type="dxa"/>
            <w:vMerge w:val="continue"/>
            <w:tcBorders>
              <w:top w:val="nil"/>
              <w:left w:val="nil"/>
              <w:bottom w:val="nil"/>
              <w:right w:val="nil"/>
            </w:tcBorders>
            <w:vAlign w:val="center"/>
          </w:tcPr>
          <w:p>
            <w:pPr>
              <w:widowControl/>
              <w:jc w:val="left"/>
              <w:rPr>
                <w:b/>
                <w:kern w:val="0"/>
                <w:sz w:val="22"/>
              </w:rPr>
            </w:pPr>
          </w:p>
        </w:tc>
        <w:tc>
          <w:tcPr>
            <w:tcW w:w="1990" w:type="dxa"/>
            <w:vMerge w:val="continue"/>
            <w:tcBorders>
              <w:top w:val="nil"/>
              <w:left w:val="nil"/>
              <w:bottom w:val="double" w:color="auto" w:sz="2" w:space="0"/>
              <w:right w:val="nil"/>
            </w:tcBorders>
            <w:vAlign w:val="center"/>
          </w:tcPr>
          <w:p>
            <w:pPr>
              <w:widowControl/>
              <w:jc w:val="left"/>
              <w:rPr>
                <w:b/>
                <w:kern w:val="0"/>
                <w:sz w:val="18"/>
              </w:rPr>
            </w:pPr>
          </w:p>
        </w:tc>
        <w:tc>
          <w:tcPr>
            <w:tcW w:w="1597" w:type="dxa"/>
            <w:vMerge w:val="continue"/>
            <w:tcBorders>
              <w:top w:val="nil"/>
              <w:left w:val="nil"/>
              <w:bottom w:val="double" w:color="auto" w:sz="2" w:space="0"/>
              <w:right w:val="nil"/>
            </w:tcBorders>
            <w:vAlign w:val="center"/>
          </w:tcPr>
          <w:p>
            <w:pPr>
              <w:widowControl/>
              <w:jc w:val="left"/>
              <w:rPr>
                <w:b/>
                <w:kern w:val="0"/>
                <w:sz w:val="18"/>
              </w:rPr>
            </w:pPr>
          </w:p>
        </w:tc>
        <w:tc>
          <w:tcPr>
            <w:tcW w:w="1608" w:type="dxa"/>
            <w:vMerge w:val="continue"/>
            <w:tcBorders>
              <w:top w:val="nil"/>
              <w:left w:val="nil"/>
              <w:bottom w:val="double" w:color="auto" w:sz="2" w:space="0"/>
              <w:right w:val="nil"/>
            </w:tcBorders>
            <w:vAlign w:val="center"/>
          </w:tcPr>
          <w:p>
            <w:pPr>
              <w:widowControl/>
              <w:jc w:val="left"/>
              <w:rPr>
                <w:b/>
                <w:kern w:val="0"/>
                <w:sz w:val="18"/>
              </w:rPr>
            </w:pPr>
          </w:p>
        </w:tc>
        <w:tc>
          <w:tcPr>
            <w:tcW w:w="1624" w:type="dxa"/>
            <w:vMerge w:val="continue"/>
            <w:tcBorders>
              <w:top w:val="nil"/>
              <w:left w:val="nil"/>
              <w:bottom w:val="double" w:color="auto" w:sz="2" w:space="0"/>
              <w:right w:val="nil"/>
            </w:tcBorders>
            <w:vAlign w:val="center"/>
          </w:tcPr>
          <w:p>
            <w:pPr>
              <w:widowControl/>
              <w:jc w:val="left"/>
              <w:rPr>
                <w:b/>
                <w:kern w:val="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491" w:hRule="atLeast"/>
        </w:trPr>
        <w:tc>
          <w:tcPr>
            <w:tcW w:w="2150" w:type="dxa"/>
            <w:vMerge w:val="continue"/>
            <w:tcBorders>
              <w:top w:val="nil"/>
              <w:left w:val="nil"/>
              <w:bottom w:val="nil"/>
              <w:right w:val="nil"/>
            </w:tcBorders>
            <w:vAlign w:val="center"/>
          </w:tcPr>
          <w:p>
            <w:pPr>
              <w:widowControl/>
              <w:jc w:val="left"/>
              <w:rPr>
                <w:b/>
                <w:kern w:val="0"/>
                <w:sz w:val="22"/>
              </w:rPr>
            </w:pPr>
          </w:p>
        </w:tc>
        <w:tc>
          <w:tcPr>
            <w:tcW w:w="1990" w:type="dxa"/>
            <w:vMerge w:val="continue"/>
            <w:tcBorders>
              <w:top w:val="nil"/>
              <w:left w:val="nil"/>
              <w:bottom w:val="double" w:color="auto" w:sz="2" w:space="0"/>
              <w:right w:val="nil"/>
            </w:tcBorders>
            <w:vAlign w:val="center"/>
          </w:tcPr>
          <w:p>
            <w:pPr>
              <w:widowControl/>
              <w:jc w:val="left"/>
              <w:rPr>
                <w:b/>
                <w:kern w:val="0"/>
                <w:sz w:val="18"/>
              </w:rPr>
            </w:pPr>
          </w:p>
        </w:tc>
        <w:tc>
          <w:tcPr>
            <w:tcW w:w="1597" w:type="dxa"/>
            <w:vMerge w:val="continue"/>
            <w:tcBorders>
              <w:top w:val="nil"/>
              <w:left w:val="nil"/>
              <w:bottom w:val="double" w:color="auto" w:sz="2" w:space="0"/>
              <w:right w:val="nil"/>
            </w:tcBorders>
            <w:vAlign w:val="center"/>
          </w:tcPr>
          <w:p>
            <w:pPr>
              <w:widowControl/>
              <w:jc w:val="left"/>
              <w:rPr>
                <w:b/>
                <w:kern w:val="0"/>
                <w:sz w:val="18"/>
              </w:rPr>
            </w:pPr>
          </w:p>
        </w:tc>
        <w:tc>
          <w:tcPr>
            <w:tcW w:w="1608" w:type="dxa"/>
            <w:vMerge w:val="continue"/>
            <w:tcBorders>
              <w:top w:val="nil"/>
              <w:left w:val="nil"/>
              <w:bottom w:val="double" w:color="auto" w:sz="2" w:space="0"/>
              <w:right w:val="nil"/>
            </w:tcBorders>
            <w:vAlign w:val="center"/>
          </w:tcPr>
          <w:p>
            <w:pPr>
              <w:widowControl/>
              <w:jc w:val="left"/>
              <w:rPr>
                <w:b/>
                <w:kern w:val="0"/>
                <w:sz w:val="18"/>
              </w:rPr>
            </w:pPr>
          </w:p>
        </w:tc>
        <w:tc>
          <w:tcPr>
            <w:tcW w:w="1624" w:type="dxa"/>
            <w:vMerge w:val="continue"/>
            <w:tcBorders>
              <w:top w:val="nil"/>
              <w:left w:val="nil"/>
              <w:bottom w:val="double" w:color="auto" w:sz="2" w:space="0"/>
              <w:right w:val="nil"/>
            </w:tcBorders>
            <w:vAlign w:val="center"/>
          </w:tcPr>
          <w:p>
            <w:pPr>
              <w:widowControl/>
              <w:jc w:val="left"/>
              <w:rPr>
                <w:b/>
                <w:kern w:val="0"/>
                <w:sz w:val="18"/>
              </w:rPr>
            </w:pPr>
          </w:p>
        </w:tc>
      </w:tr>
    </w:tbl>
    <w:p>
      <w:pPr>
        <w:spacing w:line="360" w:lineRule="exact"/>
        <w:rPr>
          <w:sz w:val="22"/>
        </w:rPr>
      </w:pPr>
    </w:p>
    <w:p>
      <w:pPr>
        <w:spacing w:line="360" w:lineRule="exact"/>
        <w:ind w:firstLine="440" w:firstLineChars="200"/>
        <w:rPr>
          <w:sz w:val="22"/>
        </w:rPr>
      </w:pPr>
      <w:r>
        <w:rPr>
          <w:rFonts w:hint="eastAsia"/>
          <w:sz w:val="22"/>
        </w:rPr>
        <w:t>（</w:t>
      </w:r>
      <w:r>
        <w:rPr>
          <w:sz w:val="22"/>
        </w:rPr>
        <w:t>2</w:t>
      </w:r>
      <w:r>
        <w:rPr>
          <w:rFonts w:hint="eastAsia"/>
          <w:sz w:val="22"/>
        </w:rPr>
        <w:t>）短期薪酬</w:t>
      </w:r>
    </w:p>
    <w:tbl>
      <w:tblPr>
        <w:tblW w:w="90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005"/>
        <w:gridCol w:w="1880"/>
        <w:gridCol w:w="1950"/>
        <w:gridCol w:w="1631"/>
        <w:gridCol w:w="15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315" w:hRule="atLeast"/>
        </w:trPr>
        <w:tc>
          <w:tcPr>
            <w:tcW w:w="2005" w:type="dxa"/>
            <w:vMerge w:val="restart"/>
            <w:tcBorders>
              <w:top w:val="nil"/>
              <w:left w:val="nil"/>
              <w:bottom w:val="nil"/>
              <w:right w:val="nil"/>
            </w:tcBorders>
            <w:vAlign w:val="top"/>
          </w:tcPr>
          <w:p>
            <w:pPr>
              <w:widowControl/>
              <w:jc w:val="center"/>
              <w:rPr>
                <w:b/>
                <w:kern w:val="0"/>
                <w:sz w:val="22"/>
              </w:rPr>
            </w:pPr>
          </w:p>
        </w:tc>
        <w:tc>
          <w:tcPr>
            <w:tcW w:w="1880" w:type="dxa"/>
            <w:tcBorders>
              <w:top w:val="nil"/>
              <w:left w:val="nil"/>
              <w:bottom w:val="nil"/>
              <w:right w:val="nil"/>
            </w:tcBorders>
            <w:vAlign w:val="top"/>
          </w:tcPr>
          <w:p>
            <w:pPr>
              <w:widowControl/>
              <w:jc w:val="center"/>
              <w:rPr>
                <w:kern w:val="0"/>
                <w:sz w:val="22"/>
              </w:rPr>
            </w:pPr>
            <w:r>
              <w:rPr>
                <w:rFonts w:hint="eastAsia"/>
                <w:kern w:val="0"/>
                <w:sz w:val="22"/>
              </w:rPr>
              <w:t>二零一六年</w:t>
            </w:r>
          </w:p>
        </w:tc>
        <w:tc>
          <w:tcPr>
            <w:tcW w:w="1950" w:type="dxa"/>
            <w:tcBorders>
              <w:top w:val="nil"/>
              <w:left w:val="nil"/>
              <w:bottom w:val="nil"/>
              <w:right w:val="nil"/>
            </w:tcBorders>
            <w:vAlign w:val="top"/>
          </w:tcPr>
          <w:p>
            <w:pPr>
              <w:widowControl/>
              <w:jc w:val="center"/>
              <w:rPr>
                <w:kern w:val="0"/>
                <w:sz w:val="22"/>
              </w:rPr>
            </w:pPr>
          </w:p>
        </w:tc>
        <w:tc>
          <w:tcPr>
            <w:tcW w:w="1631" w:type="dxa"/>
            <w:tcBorders>
              <w:top w:val="nil"/>
              <w:left w:val="nil"/>
              <w:bottom w:val="nil"/>
              <w:right w:val="nil"/>
            </w:tcBorders>
            <w:vAlign w:val="top"/>
          </w:tcPr>
          <w:p>
            <w:pPr>
              <w:widowControl/>
              <w:jc w:val="center"/>
              <w:rPr>
                <w:kern w:val="0"/>
                <w:sz w:val="22"/>
              </w:rPr>
            </w:pPr>
          </w:p>
        </w:tc>
        <w:tc>
          <w:tcPr>
            <w:tcW w:w="1597" w:type="dxa"/>
            <w:tcBorders>
              <w:top w:val="nil"/>
              <w:left w:val="nil"/>
              <w:bottom w:val="nil"/>
              <w:right w:val="nil"/>
            </w:tcBorders>
            <w:vAlign w:val="top"/>
          </w:tcPr>
          <w:p>
            <w:pPr>
              <w:widowControl/>
              <w:jc w:val="center"/>
              <w:rPr>
                <w:kern w:val="0"/>
                <w:sz w:val="22"/>
              </w:rPr>
            </w:pPr>
            <w:r>
              <w:rPr>
                <w:rFonts w:hint="eastAsia"/>
                <w:kern w:val="0"/>
                <w:sz w:val="22"/>
              </w:rPr>
              <w:t>二零一七年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315" w:hRule="atLeast"/>
        </w:trPr>
        <w:tc>
          <w:tcPr>
            <w:tcW w:w="2005" w:type="dxa"/>
            <w:vMerge w:val="continue"/>
            <w:tcBorders>
              <w:top w:val="nil"/>
              <w:left w:val="nil"/>
              <w:bottom w:val="nil"/>
              <w:right w:val="nil"/>
            </w:tcBorders>
            <w:vAlign w:val="center"/>
          </w:tcPr>
          <w:p>
            <w:pPr>
              <w:widowControl/>
              <w:jc w:val="left"/>
              <w:rPr>
                <w:b/>
                <w:kern w:val="0"/>
                <w:sz w:val="22"/>
              </w:rPr>
            </w:pPr>
          </w:p>
        </w:tc>
        <w:tc>
          <w:tcPr>
            <w:tcW w:w="1880" w:type="dxa"/>
            <w:tcBorders>
              <w:top w:val="nil"/>
              <w:left w:val="nil"/>
              <w:bottom w:val="nil"/>
              <w:right w:val="nil"/>
            </w:tcBorders>
            <w:vAlign w:val="top"/>
          </w:tcPr>
          <w:p>
            <w:pPr>
              <w:widowControl/>
              <w:jc w:val="center"/>
              <w:rPr>
                <w:kern w:val="0"/>
                <w:sz w:val="22"/>
              </w:rPr>
            </w:pPr>
            <w:r>
              <w:rPr>
                <w:rFonts w:hint="eastAsia"/>
                <w:kern w:val="0"/>
                <w:sz w:val="22"/>
              </w:rPr>
              <w:t>十二月三十一日</w:t>
            </w:r>
          </w:p>
        </w:tc>
        <w:tc>
          <w:tcPr>
            <w:tcW w:w="1950" w:type="dxa"/>
            <w:tcBorders>
              <w:top w:val="nil"/>
              <w:left w:val="nil"/>
              <w:bottom w:val="nil"/>
              <w:right w:val="nil"/>
            </w:tcBorders>
            <w:vAlign w:val="top"/>
          </w:tcPr>
          <w:p>
            <w:pPr>
              <w:widowControl/>
              <w:jc w:val="center"/>
              <w:rPr>
                <w:kern w:val="0"/>
                <w:sz w:val="22"/>
              </w:rPr>
            </w:pPr>
            <w:r>
              <w:rPr>
                <w:rFonts w:hint="eastAsia"/>
                <w:kern w:val="0"/>
                <w:sz w:val="22"/>
              </w:rPr>
              <w:t>本年增加</w:t>
            </w:r>
          </w:p>
        </w:tc>
        <w:tc>
          <w:tcPr>
            <w:tcW w:w="1631" w:type="dxa"/>
            <w:tcBorders>
              <w:top w:val="nil"/>
              <w:left w:val="nil"/>
              <w:bottom w:val="nil"/>
              <w:right w:val="nil"/>
            </w:tcBorders>
            <w:vAlign w:val="top"/>
          </w:tcPr>
          <w:p>
            <w:pPr>
              <w:widowControl/>
              <w:jc w:val="center"/>
              <w:rPr>
                <w:kern w:val="0"/>
                <w:sz w:val="22"/>
              </w:rPr>
            </w:pPr>
            <w:r>
              <w:rPr>
                <w:rFonts w:hint="eastAsia"/>
                <w:kern w:val="0"/>
                <w:sz w:val="22"/>
              </w:rPr>
              <w:t>本年減少</w:t>
            </w:r>
          </w:p>
        </w:tc>
        <w:tc>
          <w:tcPr>
            <w:tcW w:w="1597" w:type="dxa"/>
            <w:tcBorders>
              <w:top w:val="nil"/>
              <w:left w:val="nil"/>
              <w:bottom w:val="nil"/>
              <w:right w:val="nil"/>
            </w:tcBorders>
            <w:vAlign w:val="top"/>
          </w:tcPr>
          <w:p>
            <w:pPr>
              <w:widowControl/>
              <w:jc w:val="center"/>
              <w:rPr>
                <w:kern w:val="0"/>
                <w:sz w:val="22"/>
              </w:rPr>
            </w:pPr>
            <w:r>
              <w:rPr>
                <w:rFonts w:hint="eastAsia"/>
                <w:kern w:val="0"/>
                <w:sz w:val="22"/>
              </w:rPr>
              <w:t>十二月三十一日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315" w:hRule="atLeast"/>
        </w:trPr>
        <w:tc>
          <w:tcPr>
            <w:tcW w:w="2005" w:type="dxa"/>
            <w:vMerge w:val="continue"/>
            <w:tcBorders>
              <w:top w:val="nil"/>
              <w:left w:val="nil"/>
              <w:bottom w:val="nil"/>
              <w:right w:val="nil"/>
            </w:tcBorders>
            <w:vAlign w:val="center"/>
          </w:tcPr>
          <w:p>
            <w:pPr>
              <w:widowControl/>
              <w:jc w:val="left"/>
              <w:rPr>
                <w:b/>
                <w:kern w:val="0"/>
                <w:sz w:val="22"/>
              </w:rPr>
            </w:pPr>
          </w:p>
        </w:tc>
        <w:tc>
          <w:tcPr>
            <w:tcW w:w="1880" w:type="dxa"/>
            <w:tcBorders>
              <w:top w:val="nil"/>
              <w:left w:val="nil"/>
              <w:bottom w:val="single" w:color="auto" w:sz="4" w:space="0"/>
              <w:right w:val="nil"/>
            </w:tcBorders>
            <w:vAlign w:val="top"/>
          </w:tcPr>
          <w:p>
            <w:pPr>
              <w:widowControl/>
              <w:jc w:val="left"/>
              <w:rPr>
                <w:kern w:val="0"/>
                <w:sz w:val="22"/>
              </w:rPr>
            </w:pPr>
            <w:r>
              <w:rPr>
                <w:rFonts w:hint="eastAsia"/>
                <w:kern w:val="0"/>
                <w:sz w:val="22"/>
              </w:rPr>
              <w:t>　</w:t>
            </w:r>
          </w:p>
        </w:tc>
        <w:tc>
          <w:tcPr>
            <w:tcW w:w="1950" w:type="dxa"/>
            <w:tcBorders>
              <w:top w:val="nil"/>
              <w:left w:val="nil"/>
              <w:bottom w:val="single" w:color="auto" w:sz="4" w:space="0"/>
              <w:right w:val="nil"/>
            </w:tcBorders>
            <w:vAlign w:val="top"/>
          </w:tcPr>
          <w:p>
            <w:pPr>
              <w:widowControl/>
              <w:jc w:val="center"/>
              <w:rPr>
                <w:kern w:val="0"/>
                <w:sz w:val="22"/>
              </w:rPr>
            </w:pPr>
            <w:r>
              <w:rPr>
                <w:rFonts w:hint="eastAsia"/>
                <w:kern w:val="0"/>
                <w:sz w:val="22"/>
              </w:rPr>
              <w:t>　</w:t>
            </w:r>
          </w:p>
        </w:tc>
        <w:tc>
          <w:tcPr>
            <w:tcW w:w="1631" w:type="dxa"/>
            <w:tcBorders>
              <w:top w:val="nil"/>
              <w:left w:val="nil"/>
              <w:bottom w:val="single" w:color="auto" w:sz="4" w:space="0"/>
              <w:right w:val="nil"/>
            </w:tcBorders>
            <w:vAlign w:val="top"/>
          </w:tcPr>
          <w:p>
            <w:pPr>
              <w:widowControl/>
              <w:jc w:val="center"/>
              <w:rPr>
                <w:kern w:val="0"/>
                <w:sz w:val="22"/>
              </w:rPr>
            </w:pPr>
            <w:r>
              <w:rPr>
                <w:rFonts w:hint="eastAsia"/>
                <w:kern w:val="0"/>
                <w:sz w:val="22"/>
              </w:rPr>
              <w:t>　</w:t>
            </w:r>
          </w:p>
        </w:tc>
        <w:tc>
          <w:tcPr>
            <w:tcW w:w="1597" w:type="dxa"/>
            <w:tcBorders>
              <w:top w:val="nil"/>
              <w:left w:val="nil"/>
              <w:bottom w:val="single" w:color="auto" w:sz="4" w:space="0"/>
              <w:right w:val="nil"/>
            </w:tcBorders>
            <w:vAlign w:val="top"/>
          </w:tcPr>
          <w:p>
            <w:pPr>
              <w:widowControl/>
              <w:jc w:val="left"/>
              <w:rPr>
                <w:kern w:val="0"/>
                <w:sz w:val="22"/>
              </w:rPr>
            </w:pPr>
            <w:r>
              <w:rPr>
                <w:rFonts w:hint="eastAsia"/>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5" w:hRule="atLeast"/>
        </w:trPr>
        <w:tc>
          <w:tcPr>
            <w:tcW w:w="2005" w:type="dxa"/>
            <w:tcBorders>
              <w:top w:val="nil"/>
              <w:left w:val="nil"/>
              <w:bottom w:val="nil"/>
              <w:right w:val="nil"/>
            </w:tcBorders>
            <w:vAlign w:val="center"/>
          </w:tcPr>
          <w:p>
            <w:pPr>
              <w:widowControl/>
              <w:rPr>
                <w:kern w:val="0"/>
                <w:sz w:val="22"/>
              </w:rPr>
            </w:pPr>
          </w:p>
        </w:tc>
        <w:tc>
          <w:tcPr>
            <w:tcW w:w="1880" w:type="dxa"/>
            <w:tcBorders>
              <w:top w:val="nil"/>
              <w:left w:val="nil"/>
              <w:bottom w:val="nil"/>
              <w:right w:val="nil"/>
            </w:tcBorders>
            <w:vAlign w:val="top"/>
          </w:tcPr>
          <w:p>
            <w:pPr>
              <w:widowControl/>
              <w:jc w:val="center"/>
              <w:rPr>
                <w:kern w:val="0"/>
                <w:sz w:val="22"/>
              </w:rPr>
            </w:pPr>
            <w:r>
              <w:rPr>
                <w:rFonts w:hint="eastAsia"/>
                <w:kern w:val="0"/>
                <w:sz w:val="22"/>
              </w:rPr>
              <w:t>人民幣元</w:t>
            </w:r>
          </w:p>
        </w:tc>
        <w:tc>
          <w:tcPr>
            <w:tcW w:w="1950" w:type="dxa"/>
            <w:tcBorders>
              <w:top w:val="nil"/>
              <w:left w:val="nil"/>
              <w:bottom w:val="nil"/>
              <w:right w:val="nil"/>
            </w:tcBorders>
            <w:vAlign w:val="top"/>
          </w:tcPr>
          <w:p>
            <w:pPr>
              <w:widowControl/>
              <w:jc w:val="center"/>
              <w:rPr>
                <w:kern w:val="0"/>
                <w:sz w:val="22"/>
              </w:rPr>
            </w:pPr>
            <w:r>
              <w:rPr>
                <w:rFonts w:hint="eastAsia"/>
                <w:kern w:val="0"/>
                <w:sz w:val="22"/>
              </w:rPr>
              <w:t>人民幣元</w:t>
            </w:r>
          </w:p>
        </w:tc>
        <w:tc>
          <w:tcPr>
            <w:tcW w:w="1631" w:type="dxa"/>
            <w:tcBorders>
              <w:top w:val="nil"/>
              <w:left w:val="nil"/>
              <w:bottom w:val="nil"/>
              <w:right w:val="nil"/>
            </w:tcBorders>
            <w:vAlign w:val="top"/>
          </w:tcPr>
          <w:p>
            <w:pPr>
              <w:widowControl/>
              <w:jc w:val="center"/>
              <w:rPr>
                <w:kern w:val="0"/>
                <w:sz w:val="22"/>
              </w:rPr>
            </w:pPr>
            <w:r>
              <w:rPr>
                <w:rFonts w:hint="eastAsia"/>
                <w:kern w:val="0"/>
                <w:sz w:val="22"/>
              </w:rPr>
              <w:t>人民幣元</w:t>
            </w:r>
          </w:p>
        </w:tc>
        <w:tc>
          <w:tcPr>
            <w:tcW w:w="1597" w:type="dxa"/>
            <w:tcBorders>
              <w:top w:val="nil"/>
              <w:left w:val="nil"/>
              <w:bottom w:val="nil"/>
              <w:right w:val="nil"/>
            </w:tcBorders>
            <w:vAlign w:val="top"/>
          </w:tcPr>
          <w:p>
            <w:pPr>
              <w:widowControl/>
              <w:jc w:val="center"/>
              <w:rPr>
                <w:kern w:val="0"/>
                <w:sz w:val="22"/>
              </w:rPr>
            </w:pPr>
            <w:r>
              <w:rPr>
                <w:rFonts w:hint="eastAsia"/>
                <w:kern w:val="0"/>
                <w:sz w:val="22"/>
              </w:rPr>
              <w:t>人民幣元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5" w:hRule="atLeast"/>
        </w:trPr>
        <w:tc>
          <w:tcPr>
            <w:tcW w:w="2005" w:type="dxa"/>
            <w:tcBorders>
              <w:top w:val="nil"/>
              <w:left w:val="nil"/>
              <w:bottom w:val="nil"/>
              <w:right w:val="nil"/>
            </w:tcBorders>
            <w:vAlign w:val="center"/>
          </w:tcPr>
          <w:p>
            <w:pPr>
              <w:widowControl/>
              <w:rPr>
                <w:rFonts w:cs="宋体"/>
                <w:kern w:val="0"/>
                <w:sz w:val="22"/>
                <w:szCs w:val="22"/>
                <w:lang w:eastAsia="zh-TW"/>
              </w:rPr>
            </w:pPr>
          </w:p>
        </w:tc>
        <w:tc>
          <w:tcPr>
            <w:tcW w:w="1880" w:type="dxa"/>
            <w:tcBorders>
              <w:top w:val="nil"/>
              <w:left w:val="nil"/>
              <w:bottom w:val="nil"/>
              <w:right w:val="nil"/>
            </w:tcBorders>
            <w:vAlign w:val="top"/>
          </w:tcPr>
          <w:p>
            <w:pPr>
              <w:widowControl/>
              <w:jc w:val="center"/>
              <w:rPr>
                <w:rFonts w:cs="宋体"/>
                <w:kern w:val="0"/>
                <w:sz w:val="22"/>
                <w:szCs w:val="22"/>
                <w:lang w:eastAsia="zh-TW"/>
              </w:rPr>
            </w:pPr>
          </w:p>
        </w:tc>
        <w:tc>
          <w:tcPr>
            <w:tcW w:w="1950" w:type="dxa"/>
            <w:tcBorders>
              <w:top w:val="nil"/>
              <w:left w:val="nil"/>
              <w:bottom w:val="nil"/>
              <w:right w:val="nil"/>
            </w:tcBorders>
            <w:vAlign w:val="top"/>
          </w:tcPr>
          <w:p>
            <w:pPr>
              <w:widowControl/>
              <w:jc w:val="center"/>
              <w:rPr>
                <w:rFonts w:cs="宋体"/>
                <w:kern w:val="0"/>
                <w:sz w:val="22"/>
                <w:szCs w:val="22"/>
                <w:lang w:eastAsia="zh-TW"/>
              </w:rPr>
            </w:pPr>
          </w:p>
        </w:tc>
        <w:tc>
          <w:tcPr>
            <w:tcW w:w="1631" w:type="dxa"/>
            <w:tcBorders>
              <w:top w:val="nil"/>
              <w:left w:val="nil"/>
              <w:bottom w:val="nil"/>
              <w:right w:val="nil"/>
            </w:tcBorders>
            <w:vAlign w:val="top"/>
          </w:tcPr>
          <w:p>
            <w:pPr>
              <w:widowControl/>
              <w:jc w:val="center"/>
              <w:rPr>
                <w:rFonts w:cs="宋体"/>
                <w:kern w:val="0"/>
                <w:sz w:val="22"/>
                <w:szCs w:val="22"/>
                <w:lang w:eastAsia="zh-TW"/>
              </w:rPr>
            </w:pPr>
          </w:p>
        </w:tc>
        <w:tc>
          <w:tcPr>
            <w:tcW w:w="1597" w:type="dxa"/>
            <w:tcBorders>
              <w:top w:val="nil"/>
              <w:left w:val="nil"/>
              <w:bottom w:val="nil"/>
              <w:right w:val="nil"/>
            </w:tcBorders>
            <w:vAlign w:val="top"/>
          </w:tcPr>
          <w:p>
            <w:pPr>
              <w:widowControl/>
              <w:jc w:val="center"/>
              <w:rPr>
                <w:rFonts w:cs="宋体"/>
                <w:kern w:val="0"/>
                <w:sz w:val="22"/>
                <w:szCs w:val="22"/>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30" w:hRule="atLeast"/>
        </w:trPr>
        <w:tc>
          <w:tcPr>
            <w:tcW w:w="2005" w:type="dxa"/>
            <w:tcBorders>
              <w:top w:val="nil"/>
              <w:left w:val="nil"/>
              <w:bottom w:val="nil"/>
              <w:right w:val="nil"/>
            </w:tcBorders>
            <w:vAlign w:val="bottom"/>
          </w:tcPr>
          <w:p>
            <w:pPr>
              <w:widowControl/>
              <w:rPr>
                <w:kern w:val="0"/>
                <w:sz w:val="22"/>
                <w:lang w:eastAsia="zh-TW"/>
              </w:rPr>
            </w:pPr>
            <w:r>
              <w:rPr>
                <w:rFonts w:hint="eastAsia"/>
                <w:kern w:val="0"/>
                <w:sz w:val="22"/>
                <w:lang w:eastAsia="zh-TW"/>
              </w:rPr>
              <w:t>工資、獎金、津貼和補貼</w:t>
            </w:r>
          </w:p>
        </w:tc>
        <w:tc>
          <w:tcPr>
            <w:tcW w:w="1880" w:type="dxa"/>
            <w:tcBorders>
              <w:top w:val="nil"/>
              <w:left w:val="nil"/>
              <w:bottom w:val="nil"/>
              <w:right w:val="nil"/>
            </w:tcBorders>
            <w:vAlign w:val="top"/>
          </w:tcPr>
          <w:p>
            <w:pPr>
              <w:widowControl/>
              <w:spacing w:before="100" w:beforeAutospacing="1" w:after="100" w:afterAutospacing="1"/>
              <w:jc w:val="right"/>
              <w:rPr>
                <w:kern w:val="0"/>
                <w:sz w:val="22"/>
              </w:rPr>
            </w:pPr>
            <w:r>
              <w:rPr>
                <w:kern w:val="0"/>
                <w:sz w:val="22"/>
              </w:rPr>
              <w:t>59,086,436.13</w:t>
            </w:r>
          </w:p>
        </w:tc>
        <w:tc>
          <w:tcPr>
            <w:tcW w:w="1950" w:type="dxa"/>
            <w:tcBorders>
              <w:top w:val="nil"/>
              <w:left w:val="nil"/>
              <w:bottom w:val="nil"/>
              <w:right w:val="nil"/>
            </w:tcBorders>
            <w:vAlign w:val="top"/>
          </w:tcPr>
          <w:p>
            <w:pPr>
              <w:widowControl/>
              <w:spacing w:before="100" w:beforeAutospacing="1" w:after="100" w:afterAutospacing="1"/>
              <w:jc w:val="right"/>
              <w:rPr>
                <w:kern w:val="0"/>
                <w:sz w:val="22"/>
              </w:rPr>
            </w:pPr>
            <w:r>
              <w:rPr>
                <w:kern w:val="0"/>
                <w:sz w:val="22"/>
              </w:rPr>
              <w:t xml:space="preserve">440,583,328.90 </w:t>
            </w:r>
          </w:p>
        </w:tc>
        <w:tc>
          <w:tcPr>
            <w:tcW w:w="1631" w:type="dxa"/>
            <w:tcBorders>
              <w:top w:val="nil"/>
              <w:left w:val="nil"/>
              <w:bottom w:val="nil"/>
              <w:right w:val="nil"/>
            </w:tcBorders>
            <w:vAlign w:val="top"/>
          </w:tcPr>
          <w:p>
            <w:pPr>
              <w:widowControl/>
              <w:spacing w:before="100" w:beforeAutospacing="1" w:after="100" w:afterAutospacing="1"/>
              <w:jc w:val="right"/>
              <w:rPr>
                <w:kern w:val="0"/>
                <w:sz w:val="22"/>
              </w:rPr>
            </w:pPr>
            <w:r>
              <w:rPr>
                <w:kern w:val="0"/>
                <w:sz w:val="22"/>
              </w:rPr>
              <w:t xml:space="preserve">435,813,668.16 </w:t>
            </w:r>
          </w:p>
        </w:tc>
        <w:tc>
          <w:tcPr>
            <w:tcW w:w="1597" w:type="dxa"/>
            <w:tcBorders>
              <w:top w:val="nil"/>
              <w:left w:val="nil"/>
              <w:bottom w:val="nil"/>
              <w:right w:val="nil"/>
            </w:tcBorders>
            <w:vAlign w:val="top"/>
          </w:tcPr>
          <w:p>
            <w:pPr>
              <w:widowControl/>
              <w:spacing w:before="100" w:beforeAutospacing="1" w:after="100" w:afterAutospacing="1"/>
              <w:jc w:val="right"/>
              <w:rPr>
                <w:kern w:val="0"/>
                <w:sz w:val="22"/>
              </w:rPr>
            </w:pPr>
            <w:r>
              <w:rPr>
                <w:kern w:val="0"/>
                <w:sz w:val="22"/>
              </w:rPr>
              <w:t>63,856,096.87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28" w:hRule="atLeast"/>
        </w:trPr>
        <w:tc>
          <w:tcPr>
            <w:tcW w:w="2005" w:type="dxa"/>
            <w:tcBorders>
              <w:top w:val="nil"/>
              <w:left w:val="nil"/>
              <w:bottom w:val="nil"/>
              <w:right w:val="nil"/>
            </w:tcBorders>
            <w:vAlign w:val="center"/>
          </w:tcPr>
          <w:p>
            <w:pPr>
              <w:widowControl/>
              <w:rPr>
                <w:kern w:val="0"/>
                <w:sz w:val="22"/>
              </w:rPr>
            </w:pPr>
            <w:r>
              <w:rPr>
                <w:rFonts w:hint="eastAsia"/>
                <w:kern w:val="0"/>
                <w:sz w:val="22"/>
              </w:rPr>
              <w:t>職工福利費</w:t>
            </w:r>
          </w:p>
        </w:tc>
        <w:tc>
          <w:tcPr>
            <w:tcW w:w="1880" w:type="dxa"/>
            <w:tcBorders>
              <w:top w:val="nil"/>
              <w:left w:val="nil"/>
              <w:bottom w:val="nil"/>
              <w:right w:val="nil"/>
            </w:tcBorders>
            <w:vAlign w:val="center"/>
          </w:tcPr>
          <w:p>
            <w:pPr>
              <w:widowControl/>
              <w:spacing w:before="100" w:beforeAutospacing="1" w:after="100" w:afterAutospacing="1"/>
              <w:jc w:val="right"/>
              <w:rPr>
                <w:kern w:val="0"/>
                <w:sz w:val="22"/>
              </w:rPr>
            </w:pPr>
            <w:r>
              <w:rPr>
                <w:kern w:val="0"/>
                <w:sz w:val="22"/>
              </w:rPr>
              <w:t>781,215.37</w:t>
            </w:r>
          </w:p>
        </w:tc>
        <w:tc>
          <w:tcPr>
            <w:tcW w:w="1950" w:type="dxa"/>
            <w:tcBorders>
              <w:top w:val="nil"/>
              <w:left w:val="nil"/>
              <w:bottom w:val="nil"/>
              <w:right w:val="nil"/>
            </w:tcBorders>
            <w:vAlign w:val="center"/>
          </w:tcPr>
          <w:p>
            <w:pPr>
              <w:widowControl/>
              <w:spacing w:before="100" w:beforeAutospacing="1" w:after="100" w:afterAutospacing="1"/>
              <w:jc w:val="right"/>
              <w:rPr>
                <w:kern w:val="0"/>
                <w:sz w:val="22"/>
              </w:rPr>
            </w:pPr>
          </w:p>
          <w:p>
            <w:pPr>
              <w:widowControl/>
              <w:spacing w:before="100" w:beforeAutospacing="1" w:after="100" w:afterAutospacing="1"/>
              <w:jc w:val="right"/>
              <w:rPr>
                <w:kern w:val="0"/>
                <w:sz w:val="22"/>
              </w:rPr>
            </w:pPr>
            <w:r>
              <w:rPr>
                <w:kern w:val="0"/>
                <w:sz w:val="22"/>
              </w:rPr>
              <w:t>25,865,821.11</w:t>
            </w:r>
          </w:p>
          <w:p>
            <w:pPr>
              <w:widowControl/>
              <w:jc w:val="right"/>
              <w:rPr>
                <w:kern w:val="0"/>
                <w:sz w:val="22"/>
              </w:rPr>
            </w:pPr>
          </w:p>
        </w:tc>
        <w:tc>
          <w:tcPr>
            <w:tcW w:w="1631" w:type="dxa"/>
            <w:tcBorders>
              <w:top w:val="nil"/>
              <w:left w:val="nil"/>
              <w:bottom w:val="nil"/>
              <w:right w:val="nil"/>
            </w:tcBorders>
            <w:vAlign w:val="center"/>
          </w:tcPr>
          <w:p>
            <w:pPr>
              <w:widowControl/>
              <w:spacing w:before="100" w:beforeAutospacing="1" w:after="100" w:afterAutospacing="1"/>
              <w:jc w:val="right"/>
              <w:rPr>
                <w:kern w:val="0"/>
                <w:sz w:val="22"/>
              </w:rPr>
            </w:pPr>
          </w:p>
          <w:p>
            <w:pPr>
              <w:widowControl/>
              <w:spacing w:before="100" w:beforeAutospacing="1" w:after="100" w:afterAutospacing="1"/>
              <w:jc w:val="right"/>
              <w:rPr>
                <w:kern w:val="0"/>
                <w:sz w:val="22"/>
              </w:rPr>
            </w:pPr>
            <w:r>
              <w:rPr>
                <w:kern w:val="0"/>
                <w:sz w:val="22"/>
              </w:rPr>
              <w:t>26,647,036.48</w:t>
            </w:r>
          </w:p>
          <w:p>
            <w:pPr>
              <w:widowControl/>
              <w:jc w:val="right"/>
              <w:rPr>
                <w:kern w:val="0"/>
                <w:sz w:val="22"/>
              </w:rPr>
            </w:pPr>
          </w:p>
        </w:tc>
        <w:tc>
          <w:tcPr>
            <w:tcW w:w="1597" w:type="dxa"/>
            <w:tcBorders>
              <w:top w:val="nil"/>
              <w:left w:val="nil"/>
              <w:bottom w:val="nil"/>
              <w:right w:val="nil"/>
            </w:tcBorders>
            <w:vAlign w:val="center"/>
          </w:tcPr>
          <w:p>
            <w:pPr>
              <w:widowControl/>
              <w:jc w:val="right"/>
              <w:rPr>
                <w:kern w:val="0"/>
                <w:sz w:val="22"/>
              </w:rPr>
            </w:pPr>
            <w:r>
              <w:rPr>
                <w:kern w:val="0"/>
                <w:sz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5" w:hRule="atLeast"/>
        </w:trPr>
        <w:tc>
          <w:tcPr>
            <w:tcW w:w="2005" w:type="dxa"/>
            <w:tcBorders>
              <w:top w:val="nil"/>
              <w:left w:val="nil"/>
              <w:bottom w:val="nil"/>
              <w:right w:val="nil"/>
            </w:tcBorders>
            <w:vAlign w:val="bottom"/>
          </w:tcPr>
          <w:p>
            <w:pPr>
              <w:widowControl/>
              <w:rPr>
                <w:kern w:val="0"/>
                <w:sz w:val="22"/>
              </w:rPr>
            </w:pPr>
            <w:r>
              <w:rPr>
                <w:rFonts w:hint="eastAsia"/>
                <w:kern w:val="0"/>
                <w:sz w:val="22"/>
              </w:rPr>
              <w:t>社會保險費</w:t>
            </w:r>
          </w:p>
        </w:tc>
        <w:tc>
          <w:tcPr>
            <w:tcW w:w="1880" w:type="dxa"/>
            <w:tcBorders>
              <w:top w:val="nil"/>
              <w:left w:val="nil"/>
              <w:bottom w:val="nil"/>
              <w:right w:val="nil"/>
            </w:tcBorders>
            <w:vAlign w:val="top"/>
          </w:tcPr>
          <w:p>
            <w:pPr>
              <w:widowControl/>
              <w:jc w:val="right"/>
              <w:rPr>
                <w:kern w:val="0"/>
                <w:sz w:val="22"/>
              </w:rPr>
            </w:pPr>
            <w:r>
              <w:rPr>
                <w:sz w:val="22"/>
              </w:rPr>
              <w:t>-</w:t>
            </w:r>
          </w:p>
        </w:tc>
        <w:tc>
          <w:tcPr>
            <w:tcW w:w="1950" w:type="dxa"/>
            <w:tcBorders>
              <w:top w:val="nil"/>
              <w:left w:val="nil"/>
              <w:bottom w:val="nil"/>
              <w:right w:val="nil"/>
            </w:tcBorders>
            <w:vAlign w:val="top"/>
          </w:tcPr>
          <w:p>
            <w:pPr>
              <w:widowControl/>
              <w:spacing w:before="100" w:beforeAutospacing="1" w:after="100" w:afterAutospacing="1"/>
              <w:jc w:val="right"/>
              <w:rPr>
                <w:kern w:val="0"/>
                <w:sz w:val="22"/>
              </w:rPr>
            </w:pPr>
            <w:r>
              <w:rPr>
                <w:kern w:val="0"/>
                <w:sz w:val="22"/>
              </w:rPr>
              <w:t xml:space="preserve">27,004,101.04 </w:t>
            </w:r>
          </w:p>
        </w:tc>
        <w:tc>
          <w:tcPr>
            <w:tcW w:w="1631" w:type="dxa"/>
            <w:tcBorders>
              <w:top w:val="nil"/>
              <w:left w:val="nil"/>
              <w:bottom w:val="nil"/>
              <w:right w:val="nil"/>
            </w:tcBorders>
            <w:vAlign w:val="top"/>
          </w:tcPr>
          <w:p>
            <w:pPr>
              <w:widowControl/>
              <w:spacing w:before="100" w:beforeAutospacing="1" w:after="100" w:afterAutospacing="1"/>
              <w:jc w:val="right"/>
              <w:rPr>
                <w:kern w:val="0"/>
                <w:sz w:val="22"/>
              </w:rPr>
            </w:pPr>
            <w:r>
              <w:rPr>
                <w:kern w:val="0"/>
                <w:sz w:val="22"/>
              </w:rPr>
              <w:t xml:space="preserve">27,004,101.04 </w:t>
            </w:r>
          </w:p>
        </w:tc>
        <w:tc>
          <w:tcPr>
            <w:tcW w:w="1597" w:type="dxa"/>
            <w:tcBorders>
              <w:top w:val="nil"/>
              <w:left w:val="nil"/>
              <w:bottom w:val="nil"/>
              <w:right w:val="nil"/>
            </w:tcBorders>
            <w:vAlign w:val="top"/>
          </w:tcPr>
          <w:p>
            <w:pPr>
              <w:jc w:val="right"/>
              <w:rPr>
                <w:sz w:val="22"/>
              </w:rPr>
            </w:pPr>
            <w:r>
              <w:rPr>
                <w:sz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5" w:hRule="atLeast"/>
        </w:trPr>
        <w:tc>
          <w:tcPr>
            <w:tcW w:w="2005" w:type="dxa"/>
            <w:tcBorders>
              <w:top w:val="nil"/>
              <w:left w:val="nil"/>
              <w:bottom w:val="nil"/>
              <w:right w:val="nil"/>
            </w:tcBorders>
            <w:vAlign w:val="top"/>
          </w:tcPr>
          <w:p>
            <w:pPr>
              <w:widowControl/>
              <w:rPr>
                <w:kern w:val="0"/>
                <w:sz w:val="22"/>
              </w:rPr>
            </w:pPr>
            <w:r>
              <w:rPr>
                <w:rFonts w:hint="eastAsia"/>
                <w:kern w:val="0"/>
                <w:sz w:val="22"/>
              </w:rPr>
              <w:t>其中：醫療保險費</w:t>
            </w:r>
          </w:p>
        </w:tc>
        <w:tc>
          <w:tcPr>
            <w:tcW w:w="1880" w:type="dxa"/>
            <w:tcBorders>
              <w:top w:val="nil"/>
              <w:left w:val="nil"/>
              <w:bottom w:val="nil"/>
              <w:right w:val="nil"/>
            </w:tcBorders>
            <w:vAlign w:val="top"/>
          </w:tcPr>
          <w:p>
            <w:pPr>
              <w:widowControl/>
              <w:ind w:right="440"/>
              <w:jc w:val="right"/>
              <w:rPr>
                <w:kern w:val="0"/>
                <w:sz w:val="22"/>
              </w:rPr>
            </w:pPr>
          </w:p>
        </w:tc>
        <w:tc>
          <w:tcPr>
            <w:tcW w:w="1950" w:type="dxa"/>
            <w:tcBorders>
              <w:top w:val="nil"/>
              <w:left w:val="nil"/>
              <w:bottom w:val="nil"/>
              <w:right w:val="nil"/>
            </w:tcBorders>
            <w:vAlign w:val="top"/>
          </w:tcPr>
          <w:p>
            <w:pPr>
              <w:widowControl/>
              <w:spacing w:before="100" w:beforeAutospacing="1" w:after="100" w:afterAutospacing="1"/>
              <w:jc w:val="right"/>
              <w:rPr>
                <w:kern w:val="0"/>
                <w:sz w:val="22"/>
              </w:rPr>
            </w:pPr>
            <w:r>
              <w:rPr>
                <w:kern w:val="0"/>
                <w:sz w:val="22"/>
              </w:rPr>
              <w:t xml:space="preserve">21,345,292.53 </w:t>
            </w:r>
          </w:p>
          <w:p>
            <w:pPr>
              <w:widowControl/>
              <w:jc w:val="right"/>
              <w:rPr>
                <w:kern w:val="0"/>
                <w:sz w:val="22"/>
              </w:rPr>
            </w:pPr>
          </w:p>
        </w:tc>
        <w:tc>
          <w:tcPr>
            <w:tcW w:w="1631" w:type="dxa"/>
            <w:tcBorders>
              <w:top w:val="nil"/>
              <w:left w:val="nil"/>
              <w:bottom w:val="nil"/>
              <w:right w:val="nil"/>
            </w:tcBorders>
            <w:vAlign w:val="top"/>
          </w:tcPr>
          <w:p>
            <w:pPr>
              <w:widowControl/>
              <w:spacing w:before="100" w:beforeAutospacing="1" w:after="100" w:afterAutospacing="1"/>
              <w:jc w:val="right"/>
              <w:rPr>
                <w:kern w:val="0"/>
                <w:sz w:val="22"/>
              </w:rPr>
            </w:pPr>
            <w:r>
              <w:rPr>
                <w:kern w:val="0"/>
                <w:sz w:val="22"/>
              </w:rPr>
              <w:t xml:space="preserve">21,345,292.53 </w:t>
            </w:r>
          </w:p>
          <w:p>
            <w:pPr>
              <w:widowControl/>
              <w:jc w:val="right"/>
              <w:rPr>
                <w:kern w:val="0"/>
                <w:sz w:val="22"/>
              </w:rPr>
            </w:pPr>
          </w:p>
        </w:tc>
        <w:tc>
          <w:tcPr>
            <w:tcW w:w="1597" w:type="dxa"/>
            <w:tcBorders>
              <w:top w:val="nil"/>
              <w:left w:val="nil"/>
              <w:bottom w:val="nil"/>
              <w:right w:val="nil"/>
            </w:tcBorders>
            <w:vAlign w:val="top"/>
          </w:tcPr>
          <w:p>
            <w:pPr>
              <w:jc w:val="right"/>
              <w:rPr>
                <w:sz w:val="22"/>
              </w:rPr>
            </w:pPr>
            <w:r>
              <w:rPr>
                <w:sz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5" w:hRule="atLeast"/>
        </w:trPr>
        <w:tc>
          <w:tcPr>
            <w:tcW w:w="2005" w:type="dxa"/>
            <w:tcBorders>
              <w:top w:val="nil"/>
              <w:left w:val="nil"/>
              <w:bottom w:val="nil"/>
              <w:right w:val="nil"/>
            </w:tcBorders>
            <w:vAlign w:val="top"/>
          </w:tcPr>
          <w:p>
            <w:pPr>
              <w:widowControl/>
              <w:rPr>
                <w:kern w:val="0"/>
                <w:sz w:val="22"/>
              </w:rPr>
            </w:pPr>
            <w:r>
              <w:rPr>
                <w:kern w:val="0"/>
                <w:sz w:val="22"/>
              </w:rPr>
              <w:t xml:space="preserve">      </w:t>
            </w:r>
            <w:r>
              <w:rPr>
                <w:rFonts w:hint="eastAsia"/>
                <w:kern w:val="0"/>
                <w:sz w:val="22"/>
              </w:rPr>
              <w:t>工傷保險費</w:t>
            </w:r>
          </w:p>
        </w:tc>
        <w:tc>
          <w:tcPr>
            <w:tcW w:w="1880" w:type="dxa"/>
            <w:tcBorders>
              <w:top w:val="nil"/>
              <w:left w:val="nil"/>
              <w:bottom w:val="nil"/>
              <w:right w:val="nil"/>
            </w:tcBorders>
            <w:vAlign w:val="top"/>
          </w:tcPr>
          <w:p>
            <w:pPr>
              <w:widowControl/>
              <w:jc w:val="right"/>
              <w:rPr>
                <w:kern w:val="0"/>
                <w:sz w:val="22"/>
              </w:rPr>
            </w:pPr>
            <w:r>
              <w:rPr>
                <w:sz w:val="22"/>
              </w:rPr>
              <w:t>-</w:t>
            </w:r>
          </w:p>
        </w:tc>
        <w:tc>
          <w:tcPr>
            <w:tcW w:w="1950" w:type="dxa"/>
            <w:tcBorders>
              <w:top w:val="nil"/>
              <w:left w:val="nil"/>
              <w:bottom w:val="nil"/>
              <w:right w:val="nil"/>
            </w:tcBorders>
            <w:vAlign w:val="top"/>
          </w:tcPr>
          <w:p>
            <w:pPr>
              <w:widowControl/>
              <w:spacing w:before="100" w:beforeAutospacing="1" w:after="100" w:afterAutospacing="1"/>
              <w:jc w:val="right"/>
              <w:rPr>
                <w:kern w:val="0"/>
                <w:sz w:val="22"/>
              </w:rPr>
            </w:pPr>
            <w:r>
              <w:rPr>
                <w:kern w:val="0"/>
                <w:sz w:val="22"/>
              </w:rPr>
              <w:t xml:space="preserve">2,709,771,12 </w:t>
            </w:r>
          </w:p>
          <w:p>
            <w:pPr>
              <w:widowControl/>
              <w:jc w:val="right"/>
              <w:rPr>
                <w:kern w:val="0"/>
                <w:sz w:val="22"/>
              </w:rPr>
            </w:pPr>
          </w:p>
        </w:tc>
        <w:tc>
          <w:tcPr>
            <w:tcW w:w="1631" w:type="dxa"/>
            <w:tcBorders>
              <w:top w:val="nil"/>
              <w:left w:val="nil"/>
              <w:bottom w:val="nil"/>
              <w:right w:val="nil"/>
            </w:tcBorders>
            <w:vAlign w:val="top"/>
          </w:tcPr>
          <w:p>
            <w:pPr>
              <w:widowControl/>
              <w:spacing w:before="100" w:beforeAutospacing="1" w:after="100" w:afterAutospacing="1"/>
              <w:jc w:val="right"/>
              <w:rPr>
                <w:kern w:val="0"/>
                <w:sz w:val="22"/>
              </w:rPr>
            </w:pPr>
            <w:r>
              <w:rPr>
                <w:kern w:val="0"/>
                <w:sz w:val="22"/>
              </w:rPr>
              <w:t xml:space="preserve">2,709,771,12 </w:t>
            </w:r>
          </w:p>
          <w:p>
            <w:pPr>
              <w:widowControl/>
              <w:jc w:val="right"/>
              <w:rPr>
                <w:kern w:val="0"/>
                <w:sz w:val="22"/>
              </w:rPr>
            </w:pPr>
          </w:p>
        </w:tc>
        <w:tc>
          <w:tcPr>
            <w:tcW w:w="1597" w:type="dxa"/>
            <w:tcBorders>
              <w:top w:val="nil"/>
              <w:left w:val="nil"/>
              <w:bottom w:val="nil"/>
              <w:right w:val="nil"/>
            </w:tcBorders>
            <w:vAlign w:val="top"/>
          </w:tcPr>
          <w:p>
            <w:pPr>
              <w:jc w:val="right"/>
              <w:rPr>
                <w:sz w:val="22"/>
              </w:rPr>
            </w:pPr>
            <w:r>
              <w:rPr>
                <w:sz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5" w:hRule="atLeast"/>
        </w:trPr>
        <w:tc>
          <w:tcPr>
            <w:tcW w:w="2005" w:type="dxa"/>
            <w:tcBorders>
              <w:top w:val="nil"/>
              <w:left w:val="nil"/>
              <w:bottom w:val="nil"/>
              <w:right w:val="nil"/>
            </w:tcBorders>
            <w:vAlign w:val="top"/>
          </w:tcPr>
          <w:p>
            <w:pPr>
              <w:widowControl/>
              <w:rPr>
                <w:kern w:val="0"/>
                <w:sz w:val="22"/>
              </w:rPr>
            </w:pPr>
            <w:r>
              <w:rPr>
                <w:kern w:val="0"/>
                <w:sz w:val="22"/>
              </w:rPr>
              <w:t xml:space="preserve">      生育保險費</w:t>
            </w:r>
          </w:p>
        </w:tc>
        <w:tc>
          <w:tcPr>
            <w:tcW w:w="1880" w:type="dxa"/>
            <w:tcBorders>
              <w:top w:val="nil"/>
              <w:left w:val="nil"/>
              <w:bottom w:val="nil"/>
              <w:right w:val="nil"/>
            </w:tcBorders>
            <w:vAlign w:val="top"/>
          </w:tcPr>
          <w:p>
            <w:pPr>
              <w:widowControl/>
              <w:jc w:val="right"/>
              <w:rPr>
                <w:kern w:val="0"/>
                <w:sz w:val="22"/>
              </w:rPr>
            </w:pPr>
            <w:r>
              <w:rPr>
                <w:sz w:val="22"/>
              </w:rPr>
              <w:t>-</w:t>
            </w:r>
          </w:p>
        </w:tc>
        <w:tc>
          <w:tcPr>
            <w:tcW w:w="1950" w:type="dxa"/>
            <w:tcBorders>
              <w:top w:val="nil"/>
              <w:left w:val="nil"/>
              <w:bottom w:val="nil"/>
              <w:right w:val="nil"/>
            </w:tcBorders>
            <w:vAlign w:val="top"/>
          </w:tcPr>
          <w:p>
            <w:pPr>
              <w:widowControl/>
              <w:spacing w:before="100" w:beforeAutospacing="1" w:after="100" w:afterAutospacing="1"/>
              <w:jc w:val="right"/>
              <w:rPr>
                <w:kern w:val="0"/>
                <w:sz w:val="22"/>
              </w:rPr>
            </w:pPr>
            <w:r>
              <w:rPr>
                <w:kern w:val="0"/>
                <w:sz w:val="22"/>
              </w:rPr>
              <w:t xml:space="preserve">2,949,037.39 </w:t>
            </w:r>
          </w:p>
          <w:p>
            <w:pPr>
              <w:widowControl/>
              <w:jc w:val="right"/>
              <w:rPr>
                <w:kern w:val="0"/>
                <w:sz w:val="22"/>
              </w:rPr>
            </w:pPr>
          </w:p>
        </w:tc>
        <w:tc>
          <w:tcPr>
            <w:tcW w:w="1631" w:type="dxa"/>
            <w:tcBorders>
              <w:top w:val="nil"/>
              <w:left w:val="nil"/>
              <w:bottom w:val="nil"/>
              <w:right w:val="nil"/>
            </w:tcBorders>
            <w:vAlign w:val="top"/>
          </w:tcPr>
          <w:p>
            <w:pPr>
              <w:widowControl/>
              <w:spacing w:before="100" w:beforeAutospacing="1" w:after="100" w:afterAutospacing="1"/>
              <w:jc w:val="right"/>
              <w:rPr>
                <w:kern w:val="0"/>
                <w:sz w:val="22"/>
              </w:rPr>
            </w:pPr>
            <w:r>
              <w:rPr>
                <w:kern w:val="0"/>
                <w:sz w:val="22"/>
              </w:rPr>
              <w:t xml:space="preserve">2,949,037.39 </w:t>
            </w:r>
          </w:p>
          <w:p>
            <w:pPr>
              <w:widowControl/>
              <w:jc w:val="right"/>
              <w:rPr>
                <w:kern w:val="0"/>
                <w:sz w:val="22"/>
              </w:rPr>
            </w:pPr>
          </w:p>
        </w:tc>
        <w:tc>
          <w:tcPr>
            <w:tcW w:w="1597" w:type="dxa"/>
            <w:tcBorders>
              <w:top w:val="nil"/>
              <w:left w:val="nil"/>
              <w:bottom w:val="nil"/>
              <w:right w:val="nil"/>
            </w:tcBorders>
            <w:vAlign w:val="top"/>
          </w:tcPr>
          <w:p>
            <w:pPr>
              <w:jc w:val="right"/>
              <w:rPr>
                <w:sz w:val="22"/>
              </w:rPr>
            </w:pPr>
            <w:r>
              <w:rPr>
                <w:sz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5" w:hRule="atLeast"/>
        </w:trPr>
        <w:tc>
          <w:tcPr>
            <w:tcW w:w="2005" w:type="dxa"/>
            <w:tcBorders>
              <w:top w:val="nil"/>
              <w:left w:val="nil"/>
              <w:bottom w:val="nil"/>
              <w:right w:val="nil"/>
            </w:tcBorders>
            <w:vAlign w:val="bottom"/>
          </w:tcPr>
          <w:p>
            <w:pPr>
              <w:widowControl/>
              <w:rPr>
                <w:kern w:val="0"/>
                <w:sz w:val="22"/>
              </w:rPr>
            </w:pPr>
            <w:r>
              <w:rPr>
                <w:rFonts w:hint="eastAsia"/>
                <w:kern w:val="0"/>
                <w:sz w:val="22"/>
              </w:rPr>
              <w:t>住房公積金</w:t>
            </w:r>
          </w:p>
        </w:tc>
        <w:tc>
          <w:tcPr>
            <w:tcW w:w="1880" w:type="dxa"/>
            <w:tcBorders>
              <w:top w:val="nil"/>
              <w:left w:val="nil"/>
              <w:bottom w:val="nil"/>
              <w:right w:val="nil"/>
            </w:tcBorders>
            <w:vAlign w:val="top"/>
          </w:tcPr>
          <w:p>
            <w:pPr>
              <w:widowControl/>
              <w:jc w:val="right"/>
              <w:rPr>
                <w:kern w:val="0"/>
                <w:sz w:val="22"/>
              </w:rPr>
            </w:pPr>
            <w:r>
              <w:rPr>
                <w:sz w:val="22"/>
              </w:rPr>
              <w:t>-</w:t>
            </w:r>
          </w:p>
        </w:tc>
        <w:tc>
          <w:tcPr>
            <w:tcW w:w="1950" w:type="dxa"/>
            <w:tcBorders>
              <w:top w:val="nil"/>
              <w:left w:val="nil"/>
              <w:bottom w:val="nil"/>
              <w:right w:val="nil"/>
            </w:tcBorders>
            <w:vAlign w:val="top"/>
          </w:tcPr>
          <w:p>
            <w:pPr>
              <w:widowControl/>
              <w:spacing w:before="100" w:beforeAutospacing="1" w:after="100" w:afterAutospacing="1"/>
              <w:jc w:val="right"/>
              <w:rPr>
                <w:kern w:val="0"/>
                <w:sz w:val="22"/>
              </w:rPr>
            </w:pPr>
            <w:r>
              <w:rPr>
                <w:kern w:val="0"/>
                <w:sz w:val="22"/>
              </w:rPr>
              <w:t xml:space="preserve">16,275,870.24 </w:t>
            </w:r>
          </w:p>
          <w:p>
            <w:pPr>
              <w:widowControl/>
              <w:jc w:val="right"/>
              <w:rPr>
                <w:kern w:val="0"/>
                <w:sz w:val="22"/>
              </w:rPr>
            </w:pPr>
          </w:p>
        </w:tc>
        <w:tc>
          <w:tcPr>
            <w:tcW w:w="1631" w:type="dxa"/>
            <w:tcBorders>
              <w:top w:val="nil"/>
              <w:left w:val="nil"/>
              <w:bottom w:val="nil"/>
              <w:right w:val="nil"/>
            </w:tcBorders>
            <w:vAlign w:val="top"/>
          </w:tcPr>
          <w:p>
            <w:pPr>
              <w:widowControl/>
              <w:spacing w:before="100" w:beforeAutospacing="1" w:after="100" w:afterAutospacing="1"/>
              <w:jc w:val="right"/>
              <w:rPr>
                <w:kern w:val="0"/>
                <w:sz w:val="22"/>
              </w:rPr>
            </w:pPr>
            <w:r>
              <w:rPr>
                <w:kern w:val="0"/>
                <w:sz w:val="22"/>
              </w:rPr>
              <w:t xml:space="preserve">16,275,870.24 </w:t>
            </w:r>
          </w:p>
          <w:p>
            <w:pPr>
              <w:widowControl/>
              <w:jc w:val="right"/>
              <w:rPr>
                <w:kern w:val="0"/>
                <w:sz w:val="22"/>
              </w:rPr>
            </w:pPr>
          </w:p>
        </w:tc>
        <w:tc>
          <w:tcPr>
            <w:tcW w:w="1597" w:type="dxa"/>
            <w:tcBorders>
              <w:top w:val="nil"/>
              <w:left w:val="nil"/>
              <w:bottom w:val="nil"/>
              <w:right w:val="nil"/>
            </w:tcBorders>
            <w:vAlign w:val="top"/>
          </w:tcPr>
          <w:p>
            <w:pPr>
              <w:jc w:val="right"/>
              <w:rPr>
                <w:sz w:val="22"/>
              </w:rPr>
            </w:pPr>
            <w:r>
              <w:rPr>
                <w:sz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30" w:hRule="atLeast"/>
        </w:trPr>
        <w:tc>
          <w:tcPr>
            <w:tcW w:w="2005" w:type="dxa"/>
            <w:tcBorders>
              <w:top w:val="nil"/>
              <w:left w:val="nil"/>
              <w:bottom w:val="nil"/>
              <w:right w:val="nil"/>
            </w:tcBorders>
            <w:vAlign w:val="bottom"/>
          </w:tcPr>
          <w:p>
            <w:pPr>
              <w:widowControl/>
              <w:rPr>
                <w:kern w:val="0"/>
                <w:sz w:val="22"/>
                <w:lang w:eastAsia="zh-TW"/>
              </w:rPr>
            </w:pPr>
            <w:r>
              <w:rPr>
                <w:rFonts w:hint="eastAsia"/>
                <w:kern w:val="0"/>
                <w:sz w:val="22"/>
                <w:lang w:eastAsia="zh-TW"/>
              </w:rPr>
              <w:t>工會經費和職工教育經費</w:t>
            </w:r>
          </w:p>
        </w:tc>
        <w:tc>
          <w:tcPr>
            <w:tcW w:w="1880" w:type="dxa"/>
            <w:tcBorders>
              <w:top w:val="nil"/>
              <w:left w:val="nil"/>
              <w:right w:val="nil"/>
            </w:tcBorders>
            <w:vAlign w:val="top"/>
          </w:tcPr>
          <w:p>
            <w:pPr>
              <w:widowControl/>
              <w:spacing w:before="100" w:beforeAutospacing="1" w:after="100" w:afterAutospacing="1"/>
              <w:jc w:val="right"/>
              <w:rPr>
                <w:kern w:val="0"/>
                <w:sz w:val="22"/>
              </w:rPr>
            </w:pPr>
            <w:r>
              <w:rPr>
                <w:kern w:val="0"/>
                <w:sz w:val="22"/>
              </w:rPr>
              <w:t xml:space="preserve">6,210,936.32 </w:t>
            </w:r>
          </w:p>
          <w:p>
            <w:pPr>
              <w:widowControl/>
              <w:jc w:val="right"/>
              <w:rPr>
                <w:kern w:val="0"/>
                <w:sz w:val="22"/>
              </w:rPr>
            </w:pPr>
          </w:p>
        </w:tc>
        <w:tc>
          <w:tcPr>
            <w:tcW w:w="1950" w:type="dxa"/>
            <w:tcBorders>
              <w:top w:val="nil"/>
              <w:left w:val="nil"/>
              <w:right w:val="nil"/>
            </w:tcBorders>
            <w:vAlign w:val="top"/>
          </w:tcPr>
          <w:p>
            <w:pPr>
              <w:widowControl/>
              <w:spacing w:before="100" w:beforeAutospacing="1" w:after="100" w:afterAutospacing="1"/>
              <w:jc w:val="right"/>
              <w:rPr>
                <w:kern w:val="0"/>
                <w:sz w:val="22"/>
              </w:rPr>
            </w:pPr>
            <w:r>
              <w:rPr>
                <w:kern w:val="0"/>
                <w:sz w:val="22"/>
              </w:rPr>
              <w:t xml:space="preserve">7,198,616.52 </w:t>
            </w:r>
          </w:p>
          <w:p>
            <w:pPr>
              <w:widowControl/>
              <w:jc w:val="right"/>
              <w:rPr>
                <w:kern w:val="0"/>
                <w:sz w:val="22"/>
              </w:rPr>
            </w:pPr>
          </w:p>
        </w:tc>
        <w:tc>
          <w:tcPr>
            <w:tcW w:w="1631" w:type="dxa"/>
            <w:tcBorders>
              <w:top w:val="nil"/>
              <w:left w:val="nil"/>
              <w:right w:val="nil"/>
            </w:tcBorders>
            <w:vAlign w:val="top"/>
          </w:tcPr>
          <w:p>
            <w:pPr>
              <w:widowControl/>
              <w:spacing w:before="100" w:beforeAutospacing="1" w:after="100" w:afterAutospacing="1"/>
              <w:jc w:val="right"/>
              <w:rPr>
                <w:kern w:val="0"/>
                <w:sz w:val="22"/>
              </w:rPr>
            </w:pPr>
            <w:r>
              <w:rPr>
                <w:kern w:val="0"/>
                <w:sz w:val="22"/>
              </w:rPr>
              <w:t xml:space="preserve">8,804,905.98 </w:t>
            </w:r>
          </w:p>
          <w:p>
            <w:pPr>
              <w:widowControl/>
              <w:jc w:val="right"/>
              <w:rPr>
                <w:kern w:val="0"/>
                <w:sz w:val="22"/>
              </w:rPr>
            </w:pPr>
          </w:p>
        </w:tc>
        <w:tc>
          <w:tcPr>
            <w:tcW w:w="1597" w:type="dxa"/>
            <w:tcBorders>
              <w:top w:val="nil"/>
              <w:left w:val="nil"/>
              <w:right w:val="nil"/>
            </w:tcBorders>
            <w:vAlign w:val="top"/>
          </w:tcPr>
          <w:p>
            <w:pPr>
              <w:widowControl/>
              <w:spacing w:before="100" w:beforeAutospacing="1" w:after="100" w:afterAutospacing="1"/>
              <w:jc w:val="right"/>
              <w:rPr>
                <w:kern w:val="0"/>
                <w:sz w:val="22"/>
              </w:rPr>
            </w:pPr>
            <w:r>
              <w:rPr>
                <w:kern w:val="0"/>
                <w:sz w:val="22"/>
              </w:rPr>
              <w:t xml:space="preserve">4,604,646.86 </w:t>
            </w:r>
          </w:p>
          <w:p>
            <w:pPr>
              <w:widowControl/>
              <w:jc w:val="right"/>
              <w:rPr>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30" w:hRule="atLeast"/>
        </w:trPr>
        <w:tc>
          <w:tcPr>
            <w:tcW w:w="2005" w:type="dxa"/>
            <w:tcBorders>
              <w:top w:val="nil"/>
              <w:left w:val="nil"/>
              <w:bottom w:val="nil"/>
              <w:right w:val="nil"/>
            </w:tcBorders>
            <w:vAlign w:val="bottom"/>
          </w:tcPr>
          <w:p>
            <w:pPr>
              <w:widowControl/>
              <w:rPr>
                <w:kern w:val="0"/>
              </w:rPr>
            </w:pPr>
            <w:r>
              <w:rPr>
                <w:rFonts w:hint="eastAsia"/>
                <w:kern w:val="0"/>
              </w:rPr>
              <w:t>勞務費</w:t>
            </w:r>
          </w:p>
        </w:tc>
        <w:tc>
          <w:tcPr>
            <w:tcW w:w="1880" w:type="dxa"/>
            <w:tcBorders>
              <w:top w:val="nil"/>
              <w:left w:val="nil"/>
              <w:bottom w:val="single" w:color="auto" w:sz="4" w:space="0"/>
              <w:right w:val="nil"/>
            </w:tcBorders>
            <w:vAlign w:val="bottom"/>
          </w:tcPr>
          <w:p>
            <w:pPr>
              <w:widowControl/>
              <w:jc w:val="right"/>
              <w:rPr>
                <w:kern w:val="0"/>
                <w:sz w:val="22"/>
              </w:rPr>
            </w:pPr>
            <w:r>
              <w:rPr>
                <w:kern w:val="0"/>
                <w:sz w:val="22"/>
              </w:rPr>
              <w:t>-</w:t>
            </w:r>
          </w:p>
        </w:tc>
        <w:tc>
          <w:tcPr>
            <w:tcW w:w="1950" w:type="dxa"/>
            <w:tcBorders>
              <w:top w:val="nil"/>
              <w:left w:val="nil"/>
              <w:bottom w:val="single" w:color="auto" w:sz="4" w:space="0"/>
              <w:right w:val="nil"/>
            </w:tcBorders>
            <w:vAlign w:val="center"/>
          </w:tcPr>
          <w:p>
            <w:pPr>
              <w:widowControl/>
              <w:jc w:val="right"/>
              <w:rPr>
                <w:kern w:val="0"/>
                <w:sz w:val="22"/>
              </w:rPr>
            </w:pPr>
            <w:r>
              <w:rPr>
                <w:kern w:val="0"/>
                <w:sz w:val="22"/>
              </w:rPr>
              <w:t>29,964,859.56</w:t>
            </w:r>
          </w:p>
        </w:tc>
        <w:tc>
          <w:tcPr>
            <w:tcW w:w="1631" w:type="dxa"/>
            <w:tcBorders>
              <w:top w:val="nil"/>
              <w:left w:val="nil"/>
              <w:bottom w:val="single" w:color="auto" w:sz="4" w:space="0"/>
              <w:right w:val="nil"/>
            </w:tcBorders>
            <w:vAlign w:val="center"/>
          </w:tcPr>
          <w:p>
            <w:pPr>
              <w:widowControl/>
              <w:jc w:val="right"/>
              <w:rPr>
                <w:kern w:val="0"/>
                <w:sz w:val="22"/>
              </w:rPr>
            </w:pPr>
            <w:r>
              <w:rPr>
                <w:kern w:val="0"/>
                <w:sz w:val="22"/>
              </w:rPr>
              <w:t>29,964,859.56</w:t>
            </w:r>
          </w:p>
        </w:tc>
        <w:tc>
          <w:tcPr>
            <w:tcW w:w="1597" w:type="dxa"/>
            <w:tcBorders>
              <w:top w:val="nil"/>
              <w:left w:val="nil"/>
              <w:bottom w:val="single" w:color="auto" w:sz="4" w:space="0"/>
              <w:right w:val="nil"/>
            </w:tcBorders>
            <w:vAlign w:val="bottom"/>
          </w:tcPr>
          <w:p>
            <w:pPr>
              <w:jc w:val="right"/>
              <w:rPr>
                <w:sz w:val="22"/>
              </w:rPr>
            </w:pPr>
            <w:r>
              <w:rPr>
                <w:sz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491" w:hRule="atLeast"/>
        </w:trPr>
        <w:tc>
          <w:tcPr>
            <w:tcW w:w="2005" w:type="dxa"/>
            <w:vMerge w:val="restart"/>
            <w:tcBorders>
              <w:top w:val="nil"/>
              <w:left w:val="nil"/>
              <w:bottom w:val="nil"/>
              <w:right w:val="nil"/>
            </w:tcBorders>
            <w:vAlign w:val="center"/>
          </w:tcPr>
          <w:p>
            <w:pPr>
              <w:widowControl/>
              <w:rPr>
                <w:b/>
                <w:kern w:val="0"/>
                <w:sz w:val="22"/>
              </w:rPr>
            </w:pPr>
            <w:r>
              <w:rPr>
                <w:rFonts w:hint="eastAsia"/>
                <w:b/>
                <w:kern w:val="0"/>
                <w:sz w:val="22"/>
              </w:rPr>
              <w:t>合計</w:t>
            </w:r>
          </w:p>
        </w:tc>
        <w:tc>
          <w:tcPr>
            <w:tcW w:w="1880" w:type="dxa"/>
            <w:vMerge w:val="restart"/>
            <w:tcBorders>
              <w:top w:val="single" w:color="auto" w:sz="4" w:space="0"/>
              <w:left w:val="nil"/>
              <w:bottom w:val="double" w:color="auto" w:sz="2" w:space="0"/>
              <w:right w:val="nil"/>
            </w:tcBorders>
            <w:vAlign w:val="bottom"/>
          </w:tcPr>
          <w:p>
            <w:pPr>
              <w:widowControl/>
              <w:jc w:val="right"/>
              <w:rPr>
                <w:b/>
                <w:kern w:val="0"/>
                <w:sz w:val="22"/>
              </w:rPr>
            </w:pPr>
            <w:r>
              <w:rPr>
                <w:b/>
                <w:kern w:val="0"/>
                <w:sz w:val="22"/>
              </w:rPr>
              <w:t>66,078,587.82</w:t>
            </w:r>
          </w:p>
        </w:tc>
        <w:tc>
          <w:tcPr>
            <w:tcW w:w="1950" w:type="dxa"/>
            <w:vMerge w:val="restart"/>
            <w:tcBorders>
              <w:top w:val="single" w:color="auto" w:sz="4" w:space="0"/>
              <w:left w:val="nil"/>
              <w:bottom w:val="double" w:color="auto" w:sz="2" w:space="0"/>
              <w:right w:val="nil"/>
            </w:tcBorders>
            <w:vAlign w:val="bottom"/>
          </w:tcPr>
          <w:p>
            <w:pPr>
              <w:widowControl/>
              <w:jc w:val="right"/>
              <w:rPr>
                <w:b/>
                <w:kern w:val="0"/>
                <w:sz w:val="22"/>
              </w:rPr>
            </w:pPr>
            <w:r>
              <w:rPr>
                <w:b/>
                <w:kern w:val="0"/>
                <w:sz w:val="22"/>
              </w:rPr>
              <w:t>546,892,597.37</w:t>
            </w:r>
          </w:p>
        </w:tc>
        <w:tc>
          <w:tcPr>
            <w:tcW w:w="1631" w:type="dxa"/>
            <w:vMerge w:val="restart"/>
            <w:tcBorders>
              <w:top w:val="single" w:color="auto" w:sz="4" w:space="0"/>
              <w:left w:val="nil"/>
              <w:bottom w:val="double" w:color="auto" w:sz="2" w:space="0"/>
              <w:right w:val="nil"/>
            </w:tcBorders>
            <w:vAlign w:val="bottom"/>
          </w:tcPr>
          <w:p>
            <w:pPr>
              <w:widowControl/>
              <w:jc w:val="right"/>
              <w:rPr>
                <w:b/>
                <w:kern w:val="0"/>
                <w:sz w:val="22"/>
              </w:rPr>
            </w:pPr>
            <w:r>
              <w:rPr>
                <w:b/>
                <w:kern w:val="0"/>
                <w:sz w:val="22"/>
              </w:rPr>
              <w:t>544,510,441.46</w:t>
            </w:r>
          </w:p>
        </w:tc>
        <w:tc>
          <w:tcPr>
            <w:tcW w:w="1597" w:type="dxa"/>
            <w:vMerge w:val="restart"/>
            <w:tcBorders>
              <w:top w:val="single" w:color="auto" w:sz="4" w:space="0"/>
              <w:left w:val="nil"/>
              <w:bottom w:val="double" w:color="auto" w:sz="2" w:space="0"/>
              <w:right w:val="nil"/>
            </w:tcBorders>
            <w:vAlign w:val="bottom"/>
          </w:tcPr>
          <w:p>
            <w:pPr>
              <w:widowControl/>
              <w:jc w:val="right"/>
              <w:rPr>
                <w:b/>
                <w:kern w:val="0"/>
                <w:sz w:val="22"/>
              </w:rPr>
            </w:pPr>
            <w:r>
              <w:rPr>
                <w:b/>
                <w:kern w:val="0"/>
                <w:sz w:val="22"/>
              </w:rPr>
              <w:t>68,460,743.73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491" w:hRule="atLeast"/>
        </w:trPr>
        <w:tc>
          <w:tcPr>
            <w:tcW w:w="2005" w:type="dxa"/>
            <w:vMerge w:val="continue"/>
            <w:tcBorders>
              <w:top w:val="nil"/>
              <w:left w:val="nil"/>
              <w:bottom w:val="nil"/>
              <w:right w:val="nil"/>
            </w:tcBorders>
            <w:vAlign w:val="center"/>
          </w:tcPr>
          <w:p>
            <w:pPr>
              <w:widowControl/>
              <w:jc w:val="left"/>
              <w:rPr>
                <w:b/>
                <w:kern w:val="0"/>
                <w:sz w:val="22"/>
              </w:rPr>
            </w:pPr>
          </w:p>
        </w:tc>
        <w:tc>
          <w:tcPr>
            <w:tcW w:w="1880" w:type="dxa"/>
            <w:vMerge w:val="continue"/>
            <w:tcBorders>
              <w:top w:val="nil"/>
              <w:left w:val="nil"/>
              <w:bottom w:val="double" w:color="auto" w:sz="2" w:space="0"/>
              <w:right w:val="nil"/>
            </w:tcBorders>
            <w:vAlign w:val="center"/>
          </w:tcPr>
          <w:p>
            <w:pPr>
              <w:widowControl/>
              <w:jc w:val="left"/>
              <w:rPr>
                <w:b/>
                <w:kern w:val="0"/>
                <w:sz w:val="22"/>
              </w:rPr>
            </w:pPr>
          </w:p>
        </w:tc>
        <w:tc>
          <w:tcPr>
            <w:tcW w:w="1950" w:type="dxa"/>
            <w:vMerge w:val="continue"/>
            <w:tcBorders>
              <w:top w:val="nil"/>
              <w:left w:val="nil"/>
              <w:bottom w:val="double" w:color="auto" w:sz="2" w:space="0"/>
              <w:right w:val="nil"/>
            </w:tcBorders>
            <w:vAlign w:val="center"/>
          </w:tcPr>
          <w:p>
            <w:pPr>
              <w:widowControl/>
              <w:jc w:val="left"/>
              <w:rPr>
                <w:b/>
                <w:kern w:val="0"/>
                <w:sz w:val="22"/>
              </w:rPr>
            </w:pPr>
          </w:p>
        </w:tc>
        <w:tc>
          <w:tcPr>
            <w:tcW w:w="1631" w:type="dxa"/>
            <w:vMerge w:val="continue"/>
            <w:tcBorders>
              <w:top w:val="nil"/>
              <w:left w:val="nil"/>
              <w:bottom w:val="double" w:color="auto" w:sz="2" w:space="0"/>
              <w:right w:val="nil"/>
            </w:tcBorders>
            <w:vAlign w:val="center"/>
          </w:tcPr>
          <w:p>
            <w:pPr>
              <w:widowControl/>
              <w:jc w:val="left"/>
              <w:rPr>
                <w:b/>
                <w:kern w:val="0"/>
                <w:sz w:val="22"/>
              </w:rPr>
            </w:pPr>
          </w:p>
        </w:tc>
        <w:tc>
          <w:tcPr>
            <w:tcW w:w="1597" w:type="dxa"/>
            <w:vMerge w:val="continue"/>
            <w:tcBorders>
              <w:top w:val="nil"/>
              <w:left w:val="nil"/>
              <w:bottom w:val="double" w:color="auto" w:sz="2" w:space="0"/>
              <w:right w:val="nil"/>
            </w:tcBorders>
            <w:vAlign w:val="center"/>
          </w:tcPr>
          <w:p>
            <w:pPr>
              <w:widowControl/>
              <w:jc w:val="left"/>
              <w:rPr>
                <w:b/>
                <w:kern w:val="0"/>
                <w:sz w:val="22"/>
              </w:rPr>
            </w:pPr>
          </w:p>
        </w:tc>
      </w:tr>
    </w:tbl>
    <w:p>
      <w:pPr>
        <w:spacing w:line="360" w:lineRule="exact"/>
        <w:rPr>
          <w:sz w:val="22"/>
        </w:rPr>
      </w:pPr>
    </w:p>
    <w:p>
      <w:pPr>
        <w:spacing w:line="360" w:lineRule="exact"/>
        <w:ind w:firstLine="440" w:firstLineChars="200"/>
        <w:rPr>
          <w:sz w:val="22"/>
        </w:rPr>
      </w:pPr>
      <w:r>
        <w:rPr>
          <w:rFonts w:hint="eastAsia"/>
          <w:sz w:val="22"/>
        </w:rPr>
        <w:t>（</w:t>
      </w:r>
      <w:r>
        <w:rPr>
          <w:sz w:val="22"/>
        </w:rPr>
        <w:t>3</w:t>
      </w:r>
      <w:r>
        <w:rPr>
          <w:rFonts w:hint="eastAsia"/>
          <w:sz w:val="22"/>
        </w:rPr>
        <w:t>）設定提存</w:t>
      </w:r>
      <w:r>
        <w:rPr>
          <w:rFonts w:hint="eastAsia"/>
          <w:sz w:val="22"/>
          <w:szCs w:val="22"/>
          <w:lang w:eastAsia="zh-TW"/>
        </w:rPr>
        <w:t>計劃</w:t>
      </w:r>
    </w:p>
    <w:p>
      <w:pPr>
        <w:spacing w:line="360" w:lineRule="exact"/>
        <w:ind w:firstLine="440" w:firstLineChars="200"/>
        <w:rPr>
          <w:sz w:val="22"/>
        </w:rPr>
      </w:pPr>
    </w:p>
    <w:tbl>
      <w:tblPr>
        <w:tblW w:w="8692" w:type="dxa"/>
        <w:tblInd w:w="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692"/>
        <w:gridCol w:w="1605"/>
        <w:gridCol w:w="1490"/>
        <w:gridCol w:w="1540"/>
        <w:gridCol w:w="13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692" w:type="dxa"/>
            <w:vAlign w:val="top"/>
          </w:tcPr>
          <w:p>
            <w:pPr>
              <w:spacing w:line="240" w:lineRule="exact"/>
              <w:jc w:val="center"/>
              <w:rPr>
                <w:b/>
                <w:sz w:val="22"/>
              </w:rPr>
            </w:pPr>
          </w:p>
          <w:p>
            <w:pPr>
              <w:spacing w:line="240" w:lineRule="exact"/>
              <w:jc w:val="center"/>
              <w:rPr>
                <w:sz w:val="22"/>
              </w:rPr>
            </w:pPr>
          </w:p>
        </w:tc>
        <w:tc>
          <w:tcPr>
            <w:tcW w:w="1605" w:type="dxa"/>
            <w:vAlign w:val="top"/>
          </w:tcPr>
          <w:p>
            <w:pPr>
              <w:pBdr>
                <w:bottom w:val="single" w:color="auto" w:sz="4" w:space="0"/>
              </w:pBdr>
              <w:spacing w:line="240" w:lineRule="exact"/>
              <w:jc w:val="center"/>
              <w:rPr>
                <w:sz w:val="22"/>
              </w:rPr>
            </w:pPr>
            <w:r>
              <w:rPr>
                <w:rFonts w:hint="eastAsia"/>
                <w:sz w:val="22"/>
              </w:rPr>
              <w:t>二零一六年</w:t>
            </w:r>
          </w:p>
          <w:p>
            <w:pPr>
              <w:pBdr>
                <w:bottom w:val="single" w:color="auto" w:sz="4" w:space="0"/>
              </w:pBdr>
              <w:spacing w:line="240" w:lineRule="exact"/>
              <w:jc w:val="center"/>
              <w:rPr>
                <w:sz w:val="22"/>
                <w:u w:val="single"/>
              </w:rPr>
            </w:pPr>
            <w:r>
              <w:rPr>
                <w:rFonts w:hint="eastAsia"/>
                <w:sz w:val="22"/>
              </w:rPr>
              <w:t>十二月三十一日</w:t>
            </w:r>
          </w:p>
        </w:tc>
        <w:tc>
          <w:tcPr>
            <w:tcW w:w="1490" w:type="dxa"/>
            <w:vAlign w:val="bottom"/>
          </w:tcPr>
          <w:p>
            <w:pPr>
              <w:pBdr>
                <w:bottom w:val="single" w:color="auto" w:sz="4" w:space="0"/>
              </w:pBdr>
              <w:spacing w:line="240" w:lineRule="exact"/>
              <w:jc w:val="center"/>
              <w:rPr>
                <w:sz w:val="22"/>
              </w:rPr>
            </w:pPr>
            <w:r>
              <w:rPr>
                <w:rFonts w:hint="eastAsia"/>
                <w:sz w:val="22"/>
              </w:rPr>
              <w:t>本年增加</w:t>
            </w:r>
          </w:p>
        </w:tc>
        <w:tc>
          <w:tcPr>
            <w:tcW w:w="1540" w:type="dxa"/>
            <w:vAlign w:val="bottom"/>
          </w:tcPr>
          <w:p>
            <w:pPr>
              <w:pBdr>
                <w:bottom w:val="single" w:color="auto" w:sz="4" w:space="0"/>
              </w:pBdr>
              <w:spacing w:line="240" w:lineRule="exact"/>
              <w:jc w:val="center"/>
              <w:rPr>
                <w:sz w:val="22"/>
              </w:rPr>
            </w:pPr>
            <w:r>
              <w:rPr>
                <w:rFonts w:hint="eastAsia"/>
                <w:sz w:val="22"/>
              </w:rPr>
              <w:t>本年減少</w:t>
            </w:r>
          </w:p>
        </w:tc>
        <w:tc>
          <w:tcPr>
            <w:tcW w:w="1365" w:type="dxa"/>
            <w:vAlign w:val="top"/>
          </w:tcPr>
          <w:p>
            <w:pPr>
              <w:pBdr>
                <w:bottom w:val="single" w:color="auto" w:sz="4" w:space="0"/>
              </w:pBdr>
              <w:spacing w:line="240" w:lineRule="exact"/>
              <w:jc w:val="center"/>
              <w:rPr>
                <w:sz w:val="22"/>
              </w:rPr>
            </w:pPr>
            <w:r>
              <w:rPr>
                <w:rFonts w:hint="eastAsia"/>
                <w:sz w:val="22"/>
              </w:rPr>
              <w:t>二零一七年</w:t>
            </w:r>
          </w:p>
          <w:p>
            <w:pPr>
              <w:pBdr>
                <w:bottom w:val="single" w:color="auto" w:sz="4" w:space="0"/>
              </w:pBdr>
              <w:spacing w:line="240" w:lineRule="exact"/>
              <w:jc w:val="center"/>
              <w:rPr>
                <w:sz w:val="22"/>
              </w:rPr>
            </w:pPr>
            <w:r>
              <w:rPr>
                <w:rFonts w:hint="eastAsia"/>
                <w:sz w:val="22"/>
              </w:rPr>
              <w:t>十二月三十一日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692" w:type="dxa"/>
            <w:vAlign w:val="center"/>
          </w:tcPr>
          <w:p>
            <w:pPr>
              <w:rPr>
                <w:sz w:val="22"/>
              </w:rPr>
            </w:pPr>
          </w:p>
        </w:tc>
        <w:tc>
          <w:tcPr>
            <w:tcW w:w="1605" w:type="dxa"/>
            <w:vAlign w:val="top"/>
          </w:tcPr>
          <w:p>
            <w:pPr>
              <w:spacing w:line="240" w:lineRule="exact"/>
              <w:jc w:val="center"/>
              <w:rPr>
                <w:sz w:val="22"/>
              </w:rPr>
            </w:pPr>
            <w:r>
              <w:rPr>
                <w:rFonts w:hint="eastAsia"/>
                <w:sz w:val="22"/>
              </w:rPr>
              <w:t>人民幣元</w:t>
            </w:r>
          </w:p>
        </w:tc>
        <w:tc>
          <w:tcPr>
            <w:tcW w:w="1490" w:type="dxa"/>
            <w:vAlign w:val="top"/>
          </w:tcPr>
          <w:p>
            <w:pPr>
              <w:jc w:val="right"/>
              <w:rPr>
                <w:sz w:val="22"/>
              </w:rPr>
            </w:pPr>
            <w:r>
              <w:rPr>
                <w:rFonts w:hint="eastAsia"/>
                <w:sz w:val="22"/>
              </w:rPr>
              <w:t>人民幣元</w:t>
            </w:r>
          </w:p>
        </w:tc>
        <w:tc>
          <w:tcPr>
            <w:tcW w:w="1540" w:type="dxa"/>
            <w:vAlign w:val="top"/>
          </w:tcPr>
          <w:p>
            <w:pPr>
              <w:jc w:val="right"/>
              <w:rPr>
                <w:sz w:val="22"/>
              </w:rPr>
            </w:pPr>
            <w:r>
              <w:rPr>
                <w:rFonts w:hint="eastAsia"/>
                <w:sz w:val="22"/>
              </w:rPr>
              <w:t>人民幣元</w:t>
            </w:r>
          </w:p>
        </w:tc>
        <w:tc>
          <w:tcPr>
            <w:tcW w:w="1365" w:type="dxa"/>
            <w:vAlign w:val="top"/>
          </w:tcPr>
          <w:p>
            <w:pPr>
              <w:spacing w:line="240" w:lineRule="exact"/>
              <w:jc w:val="center"/>
              <w:rPr>
                <w:sz w:val="22"/>
              </w:rPr>
            </w:pPr>
            <w:r>
              <w:rPr>
                <w:rFonts w:hint="eastAsia"/>
                <w:sz w:val="22"/>
              </w:rPr>
              <w:t>人民幣元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11" w:hRule="atLeast"/>
        </w:trPr>
        <w:tc>
          <w:tcPr>
            <w:tcW w:w="2692" w:type="dxa"/>
            <w:vAlign w:val="bottom"/>
          </w:tcPr>
          <w:p>
            <w:pPr>
              <w:spacing w:line="360" w:lineRule="exact"/>
              <w:rPr>
                <w:sz w:val="22"/>
              </w:rPr>
            </w:pPr>
            <w:r>
              <w:rPr>
                <w:rFonts w:hint="eastAsia"/>
                <w:sz w:val="22"/>
              </w:rPr>
              <w:t>基本養老保險</w:t>
            </w:r>
          </w:p>
        </w:tc>
        <w:tc>
          <w:tcPr>
            <w:tcW w:w="1605" w:type="dxa"/>
            <w:vAlign w:val="top"/>
          </w:tcPr>
          <w:p>
            <w:pPr>
              <w:jc w:val="right"/>
              <w:rPr>
                <w:sz w:val="22"/>
              </w:rPr>
            </w:pPr>
            <w:r>
              <w:rPr>
                <w:sz w:val="22"/>
              </w:rPr>
              <w:t>-</w:t>
            </w:r>
          </w:p>
        </w:tc>
        <w:tc>
          <w:tcPr>
            <w:tcW w:w="1490" w:type="dxa"/>
            <w:vAlign w:val="center"/>
          </w:tcPr>
          <w:p>
            <w:pPr>
              <w:jc w:val="right"/>
              <w:rPr>
                <w:sz w:val="22"/>
              </w:rPr>
            </w:pPr>
            <w:r>
              <w:rPr>
                <w:sz w:val="22"/>
              </w:rPr>
              <w:t xml:space="preserve">56,408,572.00 </w:t>
            </w:r>
          </w:p>
          <w:p>
            <w:pPr>
              <w:jc w:val="right"/>
              <w:rPr>
                <w:sz w:val="22"/>
              </w:rPr>
            </w:pPr>
          </w:p>
        </w:tc>
        <w:tc>
          <w:tcPr>
            <w:tcW w:w="1540" w:type="dxa"/>
            <w:vAlign w:val="center"/>
          </w:tcPr>
          <w:p>
            <w:pPr>
              <w:jc w:val="right"/>
              <w:rPr>
                <w:sz w:val="22"/>
              </w:rPr>
            </w:pPr>
            <w:r>
              <w:rPr>
                <w:sz w:val="22"/>
              </w:rPr>
              <w:t xml:space="preserve">56,408,572.00 </w:t>
            </w:r>
          </w:p>
          <w:p>
            <w:pPr>
              <w:jc w:val="right"/>
              <w:rPr>
                <w:sz w:val="22"/>
              </w:rPr>
            </w:pPr>
          </w:p>
        </w:tc>
        <w:tc>
          <w:tcPr>
            <w:tcW w:w="1365" w:type="dxa"/>
            <w:vAlign w:val="center"/>
          </w:tcPr>
          <w:p>
            <w:pPr>
              <w:jc w:val="right"/>
              <w:rPr>
                <w:sz w:val="22"/>
              </w:rPr>
            </w:pPr>
            <w:r>
              <w:rPr>
                <w:sz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1" w:hRule="atLeast"/>
        </w:trPr>
        <w:tc>
          <w:tcPr>
            <w:tcW w:w="2692" w:type="dxa"/>
            <w:vAlign w:val="bottom"/>
          </w:tcPr>
          <w:p>
            <w:pPr>
              <w:spacing w:line="360" w:lineRule="exact"/>
              <w:ind w:left="440" w:hanging="440" w:hangingChars="200"/>
              <w:rPr>
                <w:sz w:val="22"/>
              </w:rPr>
            </w:pPr>
            <w:r>
              <w:rPr>
                <w:rFonts w:hint="eastAsia"/>
                <w:sz w:val="22"/>
              </w:rPr>
              <w:t>失業保險費</w:t>
            </w:r>
          </w:p>
        </w:tc>
        <w:tc>
          <w:tcPr>
            <w:tcW w:w="1605" w:type="dxa"/>
            <w:tcBorders>
              <w:bottom w:val="nil"/>
            </w:tcBorders>
            <w:vAlign w:val="top"/>
          </w:tcPr>
          <w:p>
            <w:pPr>
              <w:jc w:val="right"/>
              <w:rPr>
                <w:sz w:val="22"/>
              </w:rPr>
            </w:pPr>
            <w:r>
              <w:rPr>
                <w:sz w:val="22"/>
              </w:rPr>
              <w:t>-</w:t>
            </w:r>
          </w:p>
        </w:tc>
        <w:tc>
          <w:tcPr>
            <w:tcW w:w="1490" w:type="dxa"/>
            <w:tcBorders>
              <w:bottom w:val="nil"/>
            </w:tcBorders>
            <w:vAlign w:val="center"/>
          </w:tcPr>
          <w:p>
            <w:pPr>
              <w:jc w:val="right"/>
              <w:rPr>
                <w:sz w:val="22"/>
              </w:rPr>
            </w:pPr>
            <w:r>
              <w:rPr>
                <w:sz w:val="22"/>
              </w:rPr>
              <w:t xml:space="preserve">2,108,960.60 </w:t>
            </w:r>
          </w:p>
          <w:p>
            <w:pPr>
              <w:jc w:val="right"/>
              <w:rPr>
                <w:sz w:val="22"/>
              </w:rPr>
            </w:pPr>
          </w:p>
        </w:tc>
        <w:tc>
          <w:tcPr>
            <w:tcW w:w="1540" w:type="dxa"/>
            <w:tcBorders>
              <w:bottom w:val="nil"/>
            </w:tcBorders>
            <w:vAlign w:val="center"/>
          </w:tcPr>
          <w:p>
            <w:pPr>
              <w:jc w:val="right"/>
              <w:rPr>
                <w:sz w:val="22"/>
              </w:rPr>
            </w:pPr>
            <w:r>
              <w:rPr>
                <w:sz w:val="22"/>
              </w:rPr>
              <w:t xml:space="preserve">2,108,960.60 </w:t>
            </w:r>
          </w:p>
          <w:p>
            <w:pPr>
              <w:jc w:val="right"/>
              <w:rPr>
                <w:sz w:val="22"/>
              </w:rPr>
            </w:pPr>
          </w:p>
        </w:tc>
        <w:tc>
          <w:tcPr>
            <w:tcW w:w="1365" w:type="dxa"/>
            <w:tcBorders>
              <w:bottom w:val="nil"/>
            </w:tcBorders>
            <w:vAlign w:val="center"/>
          </w:tcPr>
          <w:p>
            <w:pPr>
              <w:jc w:val="right"/>
              <w:rPr>
                <w:sz w:val="22"/>
              </w:rPr>
            </w:pPr>
            <w:r>
              <w:rPr>
                <w:sz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1" w:hRule="atLeast"/>
        </w:trPr>
        <w:tc>
          <w:tcPr>
            <w:tcW w:w="2692" w:type="dxa"/>
            <w:tcBorders>
              <w:right w:val="nil"/>
            </w:tcBorders>
            <w:vAlign w:val="center"/>
          </w:tcPr>
          <w:p>
            <w:pPr>
              <w:widowControl/>
              <w:rPr>
                <w:sz w:val="22"/>
              </w:rPr>
            </w:pPr>
            <w:r>
              <w:rPr>
                <w:rFonts w:hint="eastAsia"/>
                <w:b/>
                <w:kern w:val="0"/>
                <w:sz w:val="22"/>
              </w:rPr>
              <w:t>合計</w:t>
            </w:r>
          </w:p>
        </w:tc>
        <w:tc>
          <w:tcPr>
            <w:tcW w:w="1605" w:type="dxa"/>
            <w:tcBorders>
              <w:top w:val="nil"/>
              <w:left w:val="nil"/>
              <w:bottom w:val="double" w:color="auto" w:sz="4" w:space="0"/>
              <w:right w:val="nil"/>
            </w:tcBorders>
            <w:vAlign w:val="bottom"/>
          </w:tcPr>
          <w:p>
            <w:pPr>
              <w:widowControl/>
              <w:jc w:val="right"/>
              <w:rPr>
                <w:b/>
                <w:sz w:val="22"/>
              </w:rPr>
            </w:pPr>
            <w:r>
              <w:rPr>
                <w:b/>
                <w:sz w:val="22"/>
              </w:rPr>
              <w:t>-</w:t>
            </w:r>
          </w:p>
        </w:tc>
        <w:tc>
          <w:tcPr>
            <w:tcW w:w="1490" w:type="dxa"/>
            <w:tcBorders>
              <w:top w:val="nil"/>
              <w:left w:val="nil"/>
              <w:bottom w:val="double" w:color="auto" w:sz="4" w:space="0"/>
              <w:right w:val="nil"/>
            </w:tcBorders>
            <w:vAlign w:val="bottom"/>
          </w:tcPr>
          <w:p>
            <w:pPr>
              <w:jc w:val="right"/>
              <w:rPr>
                <w:b/>
                <w:sz w:val="22"/>
              </w:rPr>
            </w:pPr>
            <w:r>
              <w:rPr>
                <w:b/>
                <w:sz w:val="22"/>
              </w:rPr>
              <w:t>58,517,532.60</w:t>
            </w:r>
          </w:p>
        </w:tc>
        <w:tc>
          <w:tcPr>
            <w:tcW w:w="1540" w:type="dxa"/>
            <w:tcBorders>
              <w:top w:val="nil"/>
              <w:left w:val="nil"/>
              <w:bottom w:val="double" w:color="auto" w:sz="4" w:space="0"/>
              <w:right w:val="nil"/>
            </w:tcBorders>
            <w:vAlign w:val="bottom"/>
          </w:tcPr>
          <w:p>
            <w:pPr>
              <w:jc w:val="right"/>
              <w:rPr>
                <w:b/>
                <w:sz w:val="22"/>
              </w:rPr>
            </w:pPr>
            <w:r>
              <w:rPr>
                <w:b/>
                <w:sz w:val="22"/>
              </w:rPr>
              <w:t>58,517,532.60</w:t>
            </w:r>
          </w:p>
        </w:tc>
        <w:tc>
          <w:tcPr>
            <w:tcW w:w="1365" w:type="dxa"/>
            <w:tcBorders>
              <w:top w:val="nil"/>
              <w:left w:val="nil"/>
              <w:bottom w:val="double" w:color="auto" w:sz="4" w:space="0"/>
              <w:right w:val="nil"/>
            </w:tcBorders>
            <w:vAlign w:val="bottom"/>
          </w:tcPr>
          <w:p>
            <w:pPr>
              <w:jc w:val="right"/>
              <w:rPr>
                <w:b/>
                <w:sz w:val="22"/>
              </w:rPr>
            </w:pPr>
            <w:r>
              <w:rPr>
                <w:b/>
                <w:sz w:val="22"/>
              </w:rPr>
              <w:t>-</w:t>
            </w:r>
          </w:p>
        </w:tc>
      </w:tr>
    </w:tbl>
    <w:p>
      <w:pPr>
        <w:spacing w:line="320" w:lineRule="exact"/>
        <w:rPr>
          <w:b/>
          <w:sz w:val="22"/>
        </w:rPr>
      </w:pPr>
    </w:p>
    <w:p>
      <w:pPr>
        <w:numPr>
          <w:ilvl w:val="0"/>
          <w:numId w:val="4"/>
        </w:numPr>
        <w:spacing w:line="320" w:lineRule="exact"/>
        <w:rPr>
          <w:b/>
          <w:sz w:val="22"/>
        </w:rPr>
      </w:pPr>
      <w:r>
        <w:rPr>
          <w:rFonts w:hint="eastAsia"/>
          <w:b/>
          <w:sz w:val="22"/>
        </w:rPr>
        <w:t>資本公積</w:t>
      </w:r>
    </w:p>
    <w:p>
      <w:pPr>
        <w:spacing w:line="320" w:lineRule="exact"/>
        <w:rPr>
          <w:sz w:val="22"/>
        </w:rPr>
      </w:pPr>
    </w:p>
    <w:tbl>
      <w:tblPr>
        <w:tblW w:w="8528" w:type="dxa"/>
        <w:tblInd w:w="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674"/>
        <w:gridCol w:w="1759"/>
        <w:gridCol w:w="1757"/>
        <w:gridCol w:w="1578"/>
        <w:gridCol w:w="17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1674" w:type="dxa"/>
            <w:vAlign w:val="top"/>
          </w:tcPr>
          <w:p>
            <w:pPr>
              <w:spacing w:line="240" w:lineRule="exact"/>
              <w:jc w:val="center"/>
              <w:rPr>
                <w:b/>
                <w:sz w:val="22"/>
              </w:rPr>
            </w:pPr>
          </w:p>
          <w:p>
            <w:pPr>
              <w:spacing w:line="240" w:lineRule="exact"/>
              <w:jc w:val="center"/>
              <w:rPr>
                <w:sz w:val="22"/>
              </w:rPr>
            </w:pPr>
          </w:p>
        </w:tc>
        <w:tc>
          <w:tcPr>
            <w:tcW w:w="1759" w:type="dxa"/>
            <w:vAlign w:val="top"/>
          </w:tcPr>
          <w:p>
            <w:pPr>
              <w:pBdr>
                <w:bottom w:val="single" w:color="auto" w:sz="4" w:space="0"/>
              </w:pBdr>
              <w:spacing w:line="240" w:lineRule="exact"/>
              <w:jc w:val="center"/>
              <w:rPr>
                <w:sz w:val="22"/>
              </w:rPr>
            </w:pPr>
            <w:r>
              <w:rPr>
                <w:rFonts w:hint="eastAsia"/>
                <w:sz w:val="22"/>
              </w:rPr>
              <w:t>二零一六年</w:t>
            </w:r>
          </w:p>
          <w:p>
            <w:pPr>
              <w:pBdr>
                <w:bottom w:val="single" w:color="auto" w:sz="4" w:space="0"/>
              </w:pBdr>
              <w:spacing w:line="240" w:lineRule="exact"/>
              <w:jc w:val="center"/>
              <w:rPr>
                <w:sz w:val="22"/>
              </w:rPr>
            </w:pPr>
            <w:r>
              <w:rPr>
                <w:rFonts w:hint="eastAsia"/>
                <w:sz w:val="22"/>
              </w:rPr>
              <w:t>十二月三十一日</w:t>
            </w:r>
          </w:p>
        </w:tc>
        <w:tc>
          <w:tcPr>
            <w:tcW w:w="1757" w:type="dxa"/>
            <w:vAlign w:val="bottom"/>
          </w:tcPr>
          <w:p>
            <w:pPr>
              <w:pBdr>
                <w:bottom w:val="single" w:color="auto" w:sz="4" w:space="0"/>
              </w:pBdr>
              <w:spacing w:line="240" w:lineRule="exact"/>
              <w:jc w:val="center"/>
              <w:rPr>
                <w:sz w:val="22"/>
              </w:rPr>
            </w:pPr>
            <w:r>
              <w:rPr>
                <w:rFonts w:hint="eastAsia"/>
                <w:sz w:val="22"/>
              </w:rPr>
              <w:t>本年增加</w:t>
            </w:r>
          </w:p>
        </w:tc>
        <w:tc>
          <w:tcPr>
            <w:tcW w:w="1578" w:type="dxa"/>
            <w:vAlign w:val="bottom"/>
          </w:tcPr>
          <w:p>
            <w:pPr>
              <w:pBdr>
                <w:bottom w:val="single" w:color="auto" w:sz="4" w:space="0"/>
              </w:pBdr>
              <w:spacing w:line="240" w:lineRule="exact"/>
              <w:jc w:val="center"/>
              <w:rPr>
                <w:sz w:val="22"/>
              </w:rPr>
            </w:pPr>
            <w:r>
              <w:rPr>
                <w:rFonts w:hint="eastAsia"/>
                <w:sz w:val="22"/>
              </w:rPr>
              <w:t>本年減少</w:t>
            </w:r>
          </w:p>
        </w:tc>
        <w:tc>
          <w:tcPr>
            <w:tcW w:w="1760" w:type="dxa"/>
            <w:vAlign w:val="top"/>
          </w:tcPr>
          <w:p>
            <w:pPr>
              <w:pBdr>
                <w:bottom w:val="single" w:color="auto" w:sz="4" w:space="0"/>
              </w:pBdr>
              <w:spacing w:line="240" w:lineRule="exact"/>
              <w:jc w:val="center"/>
              <w:rPr>
                <w:sz w:val="22"/>
              </w:rPr>
            </w:pPr>
            <w:r>
              <w:rPr>
                <w:rFonts w:hint="eastAsia"/>
                <w:sz w:val="22"/>
              </w:rPr>
              <w:t>二零一七年</w:t>
            </w:r>
          </w:p>
          <w:p>
            <w:pPr>
              <w:pBdr>
                <w:bottom w:val="single" w:color="auto" w:sz="4" w:space="0"/>
              </w:pBdr>
              <w:spacing w:line="240" w:lineRule="exact"/>
              <w:jc w:val="center"/>
              <w:rPr>
                <w:sz w:val="22"/>
                <w:u w:val="single"/>
              </w:rPr>
            </w:pPr>
            <w:r>
              <w:rPr>
                <w:rFonts w:hint="eastAsia"/>
                <w:sz w:val="22"/>
              </w:rPr>
              <w:t>十二月三十一日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1674" w:type="dxa"/>
            <w:vAlign w:val="center"/>
          </w:tcPr>
          <w:p>
            <w:pPr>
              <w:rPr>
                <w:sz w:val="22"/>
              </w:rPr>
            </w:pPr>
          </w:p>
        </w:tc>
        <w:tc>
          <w:tcPr>
            <w:tcW w:w="1759" w:type="dxa"/>
            <w:vAlign w:val="top"/>
          </w:tcPr>
          <w:p>
            <w:pPr>
              <w:spacing w:line="240" w:lineRule="exact"/>
              <w:jc w:val="center"/>
              <w:rPr>
                <w:sz w:val="22"/>
              </w:rPr>
            </w:pPr>
            <w:r>
              <w:rPr>
                <w:rFonts w:hint="eastAsia"/>
                <w:sz w:val="22"/>
              </w:rPr>
              <w:t>人民幣元</w:t>
            </w:r>
          </w:p>
        </w:tc>
        <w:tc>
          <w:tcPr>
            <w:tcW w:w="1757" w:type="dxa"/>
            <w:vAlign w:val="top"/>
          </w:tcPr>
          <w:p>
            <w:pPr>
              <w:spacing w:line="240" w:lineRule="exact"/>
              <w:jc w:val="center"/>
              <w:rPr>
                <w:sz w:val="22"/>
              </w:rPr>
            </w:pPr>
          </w:p>
        </w:tc>
        <w:tc>
          <w:tcPr>
            <w:tcW w:w="1578" w:type="dxa"/>
            <w:vAlign w:val="top"/>
          </w:tcPr>
          <w:p>
            <w:pPr>
              <w:spacing w:line="240" w:lineRule="exact"/>
              <w:jc w:val="center"/>
              <w:rPr>
                <w:sz w:val="22"/>
              </w:rPr>
            </w:pPr>
          </w:p>
        </w:tc>
        <w:tc>
          <w:tcPr>
            <w:tcW w:w="1760" w:type="dxa"/>
            <w:vAlign w:val="top"/>
          </w:tcPr>
          <w:p>
            <w:pPr>
              <w:spacing w:line="240" w:lineRule="exact"/>
              <w:jc w:val="center"/>
              <w:rPr>
                <w:sz w:val="22"/>
              </w:rPr>
            </w:pPr>
            <w:r>
              <w:rPr>
                <w:rFonts w:hint="eastAsia"/>
                <w:sz w:val="22"/>
              </w:rPr>
              <w:t>人民幣元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1" w:hRule="atLeast"/>
        </w:trPr>
        <w:tc>
          <w:tcPr>
            <w:tcW w:w="1674" w:type="dxa"/>
            <w:vAlign w:val="bottom"/>
          </w:tcPr>
          <w:p>
            <w:pPr>
              <w:rPr>
                <w:sz w:val="22"/>
              </w:rPr>
            </w:pPr>
            <w:bookmarkStart w:id="7" w:name="OLE_LINK21" w:colFirst="1" w:colLast="4"/>
            <w:bookmarkStart w:id="8" w:name="OLE_LINK22" w:colFirst="1" w:colLast="4"/>
            <w:bookmarkStart w:id="9" w:name="_Hlk445212811"/>
            <w:r>
              <w:rPr>
                <w:rFonts w:hint="eastAsia"/>
                <w:sz w:val="22"/>
              </w:rPr>
              <w:t>股本溢價</w:t>
            </w:r>
          </w:p>
        </w:tc>
        <w:tc>
          <w:tcPr>
            <w:tcW w:w="1759" w:type="dxa"/>
            <w:vAlign w:val="bottom"/>
          </w:tcPr>
          <w:p>
            <w:pPr>
              <w:snapToGrid w:val="0"/>
              <w:jc w:val="right"/>
              <w:rPr>
                <w:sz w:val="22"/>
              </w:rPr>
            </w:pPr>
            <w:r>
              <w:rPr>
                <w:sz w:val="22"/>
              </w:rPr>
              <w:t>424,084,320.48</w:t>
            </w:r>
          </w:p>
        </w:tc>
        <w:tc>
          <w:tcPr>
            <w:tcW w:w="1757" w:type="dxa"/>
            <w:vAlign w:val="bottom"/>
          </w:tcPr>
          <w:p>
            <w:pPr>
              <w:snapToGrid w:val="0"/>
              <w:jc w:val="right"/>
              <w:rPr>
                <w:sz w:val="22"/>
              </w:rPr>
            </w:pPr>
            <w:r>
              <w:rPr>
                <w:sz w:val="22"/>
              </w:rPr>
              <w:t>202,357,872.28</w:t>
            </w:r>
          </w:p>
        </w:tc>
        <w:tc>
          <w:tcPr>
            <w:tcW w:w="1578" w:type="dxa"/>
            <w:vAlign w:val="bottom"/>
          </w:tcPr>
          <w:p>
            <w:pPr>
              <w:snapToGrid w:val="0"/>
              <w:jc w:val="right"/>
              <w:rPr>
                <w:sz w:val="22"/>
              </w:rPr>
            </w:pPr>
            <w:r>
              <w:rPr>
                <w:sz w:val="22"/>
              </w:rPr>
              <w:t>-</w:t>
            </w:r>
          </w:p>
        </w:tc>
        <w:tc>
          <w:tcPr>
            <w:tcW w:w="1760" w:type="dxa"/>
            <w:vAlign w:val="bottom"/>
          </w:tcPr>
          <w:p>
            <w:pPr>
              <w:snapToGrid w:val="0"/>
              <w:jc w:val="right"/>
              <w:rPr>
                <w:sz w:val="22"/>
              </w:rPr>
            </w:pPr>
            <w:r>
              <w:rPr>
                <w:sz w:val="22"/>
              </w:rPr>
              <w:t>626,442,192.76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1674" w:type="dxa"/>
            <w:vAlign w:val="bottom"/>
          </w:tcPr>
          <w:p>
            <w:pPr>
              <w:rPr>
                <w:sz w:val="22"/>
              </w:rPr>
            </w:pPr>
            <w:r>
              <w:rPr>
                <w:rFonts w:hint="eastAsia"/>
                <w:sz w:val="22"/>
              </w:rPr>
              <w:t>其他資本公積</w:t>
            </w:r>
          </w:p>
        </w:tc>
        <w:tc>
          <w:tcPr>
            <w:tcW w:w="1759" w:type="dxa"/>
            <w:vAlign w:val="bottom"/>
          </w:tcPr>
          <w:p>
            <w:pPr>
              <w:jc w:val="right"/>
              <w:rPr>
                <w:sz w:val="22"/>
              </w:rPr>
            </w:pPr>
            <w:r>
              <w:rPr>
                <w:sz w:val="22"/>
              </w:rPr>
              <w:t>89,008,132.18</w:t>
            </w:r>
          </w:p>
        </w:tc>
        <w:tc>
          <w:tcPr>
            <w:tcW w:w="1757" w:type="dxa"/>
            <w:vAlign w:val="bottom"/>
          </w:tcPr>
          <w:p>
            <w:pPr>
              <w:snapToGrid w:val="0"/>
              <w:jc w:val="right"/>
              <w:rPr>
                <w:sz w:val="22"/>
              </w:rPr>
            </w:pPr>
            <w:r>
              <w:rPr>
                <w:sz w:val="22"/>
              </w:rPr>
              <w:t>13,000,000.00</w:t>
            </w:r>
          </w:p>
        </w:tc>
        <w:tc>
          <w:tcPr>
            <w:tcW w:w="1578" w:type="dxa"/>
            <w:vAlign w:val="bottom"/>
          </w:tcPr>
          <w:p>
            <w:pPr>
              <w:snapToGrid w:val="0"/>
              <w:jc w:val="right"/>
              <w:rPr>
                <w:sz w:val="22"/>
              </w:rPr>
            </w:pPr>
            <w:r>
              <w:rPr>
                <w:sz w:val="22"/>
              </w:rPr>
              <w:t>-</w:t>
            </w:r>
          </w:p>
        </w:tc>
        <w:tc>
          <w:tcPr>
            <w:tcW w:w="1760" w:type="dxa"/>
            <w:vAlign w:val="bottom"/>
          </w:tcPr>
          <w:p>
            <w:pPr>
              <w:snapToGrid w:val="0"/>
              <w:jc w:val="right"/>
              <w:rPr>
                <w:sz w:val="22"/>
              </w:rPr>
            </w:pPr>
            <w:r>
              <w:rPr>
                <w:sz w:val="22"/>
              </w:rPr>
              <w:t>102,008,132.18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97" w:hRule="atLeast"/>
        </w:trPr>
        <w:tc>
          <w:tcPr>
            <w:tcW w:w="1674" w:type="dxa"/>
            <w:vAlign w:val="center"/>
          </w:tcPr>
          <w:p>
            <w:pPr>
              <w:rPr>
                <w:b/>
                <w:sz w:val="22"/>
              </w:rPr>
            </w:pPr>
            <w:r>
              <w:rPr>
                <w:rFonts w:hint="eastAsia"/>
                <w:b/>
                <w:sz w:val="22"/>
              </w:rPr>
              <w:t>合計</w:t>
            </w:r>
          </w:p>
        </w:tc>
        <w:tc>
          <w:tcPr>
            <w:tcW w:w="1759" w:type="dxa"/>
            <w:vAlign w:val="bottom"/>
          </w:tcPr>
          <w:p>
            <w:pPr>
              <w:pBdr>
                <w:bottom w:val="double" w:color="auto" w:sz="4" w:space="1"/>
              </w:pBdr>
              <w:jc w:val="right"/>
              <w:rPr>
                <w:b/>
                <w:sz w:val="22"/>
              </w:rPr>
            </w:pPr>
            <w:r>
              <w:rPr>
                <w:b/>
                <w:sz w:val="22"/>
              </w:rPr>
              <w:t>513,092,452.66</w:t>
            </w:r>
          </w:p>
        </w:tc>
        <w:tc>
          <w:tcPr>
            <w:tcW w:w="1757" w:type="dxa"/>
            <w:vAlign w:val="bottom"/>
          </w:tcPr>
          <w:p>
            <w:pPr>
              <w:pBdr>
                <w:bottom w:val="double" w:color="auto" w:sz="4" w:space="1"/>
              </w:pBdr>
              <w:jc w:val="right"/>
              <w:rPr>
                <w:b/>
                <w:sz w:val="22"/>
              </w:rPr>
            </w:pPr>
            <w:r>
              <w:rPr>
                <w:b/>
                <w:sz w:val="22"/>
              </w:rPr>
              <w:t>215,357,872.28</w:t>
            </w:r>
          </w:p>
        </w:tc>
        <w:tc>
          <w:tcPr>
            <w:tcW w:w="1578" w:type="dxa"/>
            <w:vAlign w:val="bottom"/>
          </w:tcPr>
          <w:p>
            <w:pPr>
              <w:pBdr>
                <w:bottom w:val="double" w:color="auto" w:sz="4" w:space="1"/>
              </w:pBdr>
              <w:jc w:val="right"/>
              <w:rPr>
                <w:b/>
                <w:sz w:val="22"/>
              </w:rPr>
            </w:pPr>
            <w:r>
              <w:rPr>
                <w:b/>
                <w:sz w:val="22"/>
              </w:rPr>
              <w:t>-</w:t>
            </w:r>
          </w:p>
        </w:tc>
        <w:tc>
          <w:tcPr>
            <w:tcW w:w="1760" w:type="dxa"/>
            <w:vAlign w:val="bottom"/>
          </w:tcPr>
          <w:p>
            <w:pPr>
              <w:pBdr>
                <w:bottom w:val="double" w:color="auto" w:sz="4" w:space="1"/>
              </w:pBdr>
              <w:jc w:val="right"/>
              <w:rPr>
                <w:b/>
                <w:sz w:val="22"/>
              </w:rPr>
            </w:pPr>
            <w:r>
              <w:rPr>
                <w:b/>
                <w:sz w:val="22"/>
              </w:rPr>
              <w:t>728,450,324.94</w:t>
            </w:r>
          </w:p>
        </w:tc>
      </w:tr>
      <w:bookmarkEnd w:id="7"/>
      <w:bookmarkEnd w:id="8"/>
      <w:bookmarkEnd w:id="9"/>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1674" w:type="dxa"/>
            <w:vAlign w:val="center"/>
          </w:tcPr>
          <w:p/>
        </w:tc>
        <w:tc>
          <w:tcPr>
            <w:tcW w:w="1759" w:type="dxa"/>
            <w:vAlign w:val="top"/>
          </w:tcPr>
          <w:p/>
        </w:tc>
        <w:tc>
          <w:tcPr>
            <w:tcW w:w="1757" w:type="dxa"/>
            <w:vAlign w:val="top"/>
          </w:tcPr>
          <w:p/>
        </w:tc>
        <w:tc>
          <w:tcPr>
            <w:tcW w:w="1578" w:type="dxa"/>
            <w:vAlign w:val="bottom"/>
          </w:tcPr>
          <w:p/>
        </w:tc>
        <w:tc>
          <w:tcPr>
            <w:tcW w:w="1760" w:type="dxa"/>
            <w:vAlign w:val="center"/>
          </w:tcPr>
          <w:p>
            <w:pPr>
              <w:wordWrap w:val="0"/>
              <w:jc w:val="right"/>
              <w:rPr>
                <w:sz w:val="22"/>
                <w:u w:val="double"/>
              </w:rPr>
            </w:pPr>
          </w:p>
        </w:tc>
      </w:tr>
    </w:tbl>
    <w:p>
      <w:pPr>
        <w:spacing w:line="360" w:lineRule="exact"/>
        <w:ind w:firstLine="400" w:firstLineChars="181"/>
        <w:rPr>
          <w:b/>
          <w:sz w:val="22"/>
        </w:rPr>
      </w:pPr>
    </w:p>
    <w:p>
      <w:pPr>
        <w:spacing w:line="360" w:lineRule="exact"/>
        <w:ind w:firstLine="399"/>
        <w:rPr>
          <w:b/>
          <w:sz w:val="22"/>
        </w:rPr>
      </w:pPr>
    </w:p>
    <w:p>
      <w:pPr>
        <w:spacing w:line="360" w:lineRule="exact"/>
        <w:ind w:firstLine="399"/>
        <w:rPr>
          <w:b/>
          <w:sz w:val="22"/>
        </w:rPr>
      </w:pPr>
    </w:p>
    <w:p>
      <w:pPr>
        <w:spacing w:line="360" w:lineRule="exact"/>
        <w:ind w:firstLine="399"/>
        <w:rPr>
          <w:b/>
          <w:sz w:val="22"/>
        </w:rPr>
      </w:pPr>
    </w:p>
    <w:p>
      <w:pPr>
        <w:spacing w:line="360" w:lineRule="exact"/>
        <w:ind w:firstLine="399"/>
        <w:rPr>
          <w:b/>
          <w:sz w:val="22"/>
        </w:rPr>
      </w:pPr>
    </w:p>
    <w:p>
      <w:pPr>
        <w:spacing w:line="360" w:lineRule="exact"/>
        <w:ind w:firstLine="399"/>
        <w:rPr>
          <w:b/>
          <w:sz w:val="22"/>
        </w:rPr>
      </w:pPr>
    </w:p>
    <w:p>
      <w:pPr>
        <w:numPr>
          <w:ilvl w:val="0"/>
          <w:numId w:val="4"/>
        </w:numPr>
        <w:spacing w:line="320" w:lineRule="exact"/>
        <w:rPr>
          <w:b/>
          <w:sz w:val="22"/>
        </w:rPr>
      </w:pPr>
      <w:r>
        <w:rPr>
          <w:rFonts w:hint="eastAsia"/>
          <w:b/>
          <w:sz w:val="22"/>
        </w:rPr>
        <w:t>其他綜合收益</w:t>
      </w:r>
    </w:p>
    <w:tbl>
      <w:tblPr>
        <w:tblW w:w="10661" w:type="dxa"/>
        <w:jc w:val="center"/>
        <w:tblInd w:w="-2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931"/>
        <w:gridCol w:w="1535"/>
        <w:gridCol w:w="1623"/>
        <w:gridCol w:w="473"/>
        <w:gridCol w:w="1463"/>
        <w:gridCol w:w="1589"/>
        <w:gridCol w:w="1425"/>
        <w:gridCol w:w="16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291" w:hRule="atLeast"/>
          <w:jc w:val="center"/>
        </w:trPr>
        <w:tc>
          <w:tcPr>
            <w:tcW w:w="931" w:type="dxa"/>
            <w:vMerge w:val="restart"/>
            <w:vAlign w:val="top"/>
          </w:tcPr>
          <w:p>
            <w:pPr>
              <w:spacing w:line="240" w:lineRule="exact"/>
              <w:jc w:val="center"/>
              <w:rPr>
                <w:b/>
                <w:sz w:val="22"/>
              </w:rPr>
            </w:pPr>
          </w:p>
          <w:p>
            <w:pPr>
              <w:spacing w:line="240" w:lineRule="exact"/>
              <w:jc w:val="center"/>
              <w:rPr>
                <w:b/>
                <w:sz w:val="22"/>
              </w:rPr>
            </w:pPr>
          </w:p>
        </w:tc>
        <w:tc>
          <w:tcPr>
            <w:tcW w:w="1535" w:type="dxa"/>
            <w:vMerge w:val="restart"/>
            <w:vAlign w:val="bottom"/>
          </w:tcPr>
          <w:p>
            <w:pPr>
              <w:pBdr>
                <w:bottom w:val="single" w:color="auto" w:sz="4" w:space="0"/>
              </w:pBdr>
              <w:spacing w:line="240" w:lineRule="exact"/>
              <w:jc w:val="center"/>
              <w:rPr>
                <w:sz w:val="18"/>
              </w:rPr>
            </w:pPr>
            <w:r>
              <w:rPr>
                <w:rFonts w:hint="eastAsia"/>
                <w:sz w:val="18"/>
              </w:rPr>
              <w:t>二零一六年十二月三十一日</w:t>
            </w:r>
          </w:p>
        </w:tc>
        <w:tc>
          <w:tcPr>
            <w:tcW w:w="6573" w:type="dxa"/>
            <w:gridSpan w:val="5"/>
            <w:vAlign w:val="bottom"/>
          </w:tcPr>
          <w:p>
            <w:pPr>
              <w:jc w:val="center"/>
              <w:rPr>
                <w:sz w:val="18"/>
              </w:rPr>
            </w:pPr>
            <w:r>
              <w:rPr>
                <w:rFonts w:hint="eastAsia"/>
                <w:sz w:val="18"/>
              </w:rPr>
              <w:t>本年發生額</w:t>
            </w:r>
          </w:p>
        </w:tc>
        <w:tc>
          <w:tcPr>
            <w:tcW w:w="1622" w:type="dxa"/>
            <w:vMerge w:val="restart"/>
            <w:vAlign w:val="bottom"/>
          </w:tcPr>
          <w:p>
            <w:pPr>
              <w:pBdr>
                <w:bottom w:val="single" w:color="auto" w:sz="4" w:space="0"/>
              </w:pBdr>
              <w:spacing w:line="240" w:lineRule="exact"/>
              <w:jc w:val="center"/>
              <w:rPr>
                <w:sz w:val="18"/>
              </w:rPr>
            </w:pPr>
            <w:r>
              <w:rPr>
                <w:rFonts w:hint="eastAsia"/>
                <w:sz w:val="18"/>
              </w:rPr>
              <w:t>二零一七年</w:t>
            </w:r>
          </w:p>
          <w:p>
            <w:pPr>
              <w:pBdr>
                <w:bottom w:val="single" w:color="auto" w:sz="4" w:space="0"/>
              </w:pBdr>
              <w:spacing w:line="240" w:lineRule="exact"/>
              <w:jc w:val="center"/>
            </w:pPr>
            <w:r>
              <w:rPr>
                <w:rFonts w:hint="eastAsia"/>
                <w:sz w:val="18"/>
              </w:rPr>
              <w:t>十二月三十一日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jc w:val="center"/>
        </w:trPr>
        <w:tc>
          <w:tcPr>
            <w:tcW w:w="931" w:type="dxa"/>
            <w:vMerge w:val="continue"/>
            <w:vAlign w:val="top"/>
          </w:tcPr>
          <w:p>
            <w:pPr>
              <w:spacing w:line="240" w:lineRule="exact"/>
              <w:jc w:val="center"/>
              <w:rPr>
                <w:sz w:val="22"/>
              </w:rPr>
            </w:pPr>
          </w:p>
        </w:tc>
        <w:tc>
          <w:tcPr>
            <w:tcW w:w="1535" w:type="dxa"/>
            <w:vMerge w:val="continue"/>
            <w:vAlign w:val="bottom"/>
          </w:tcPr>
          <w:p>
            <w:pPr>
              <w:pBdr>
                <w:bottom w:val="single" w:color="auto" w:sz="4" w:space="0"/>
              </w:pBdr>
              <w:spacing w:line="240" w:lineRule="exact"/>
              <w:jc w:val="center"/>
              <w:rPr>
                <w:sz w:val="18"/>
                <w:u w:val="single"/>
              </w:rPr>
            </w:pPr>
          </w:p>
        </w:tc>
        <w:tc>
          <w:tcPr>
            <w:tcW w:w="1623" w:type="dxa"/>
            <w:vAlign w:val="bottom"/>
          </w:tcPr>
          <w:p>
            <w:pPr>
              <w:pBdr>
                <w:bottom w:val="single" w:color="auto" w:sz="4" w:space="0"/>
              </w:pBdr>
              <w:spacing w:line="240" w:lineRule="exact"/>
              <w:jc w:val="center"/>
              <w:rPr>
                <w:sz w:val="18"/>
              </w:rPr>
            </w:pPr>
            <w:r>
              <w:rPr>
                <w:rFonts w:hint="eastAsia"/>
                <w:sz w:val="18"/>
              </w:rPr>
              <w:t>本年所得稅發生額</w:t>
            </w:r>
          </w:p>
        </w:tc>
        <w:tc>
          <w:tcPr>
            <w:tcW w:w="473" w:type="dxa"/>
            <w:vAlign w:val="bottom"/>
          </w:tcPr>
          <w:p>
            <w:pPr>
              <w:pBdr>
                <w:bottom w:val="single" w:color="auto" w:sz="4" w:space="0"/>
              </w:pBdr>
              <w:spacing w:line="240" w:lineRule="exact"/>
              <w:jc w:val="center"/>
              <w:rPr>
                <w:sz w:val="18"/>
                <w:lang w:eastAsia="zh-TW"/>
              </w:rPr>
            </w:pPr>
            <w:r>
              <w:rPr>
                <w:rFonts w:hint="eastAsia"/>
                <w:sz w:val="18"/>
                <w:lang w:eastAsia="zh-TW"/>
              </w:rPr>
              <w:t>減：前期計入其他綜合收益當期轉入損益</w:t>
            </w:r>
          </w:p>
        </w:tc>
        <w:tc>
          <w:tcPr>
            <w:tcW w:w="1463" w:type="dxa"/>
            <w:vAlign w:val="bottom"/>
          </w:tcPr>
          <w:p>
            <w:pPr>
              <w:pBdr>
                <w:bottom w:val="single" w:color="auto" w:sz="4" w:space="0"/>
              </w:pBdr>
              <w:spacing w:line="240" w:lineRule="exact"/>
              <w:jc w:val="center"/>
              <w:rPr>
                <w:sz w:val="18"/>
              </w:rPr>
            </w:pPr>
            <w:r>
              <w:rPr>
                <w:rFonts w:hint="eastAsia"/>
                <w:sz w:val="18"/>
              </w:rPr>
              <w:t>減：所得稅費用</w:t>
            </w:r>
          </w:p>
        </w:tc>
        <w:tc>
          <w:tcPr>
            <w:tcW w:w="1589" w:type="dxa"/>
            <w:vAlign w:val="bottom"/>
          </w:tcPr>
          <w:p>
            <w:pPr>
              <w:pBdr>
                <w:bottom w:val="single" w:color="auto" w:sz="4" w:space="0"/>
              </w:pBdr>
              <w:spacing w:line="240" w:lineRule="exact"/>
              <w:jc w:val="center"/>
              <w:rPr>
                <w:sz w:val="18"/>
              </w:rPr>
            </w:pPr>
            <w:r>
              <w:rPr>
                <w:rFonts w:hint="eastAsia"/>
                <w:sz w:val="18"/>
              </w:rPr>
              <w:t>稅後歸屬於</w:t>
            </w:r>
            <w:r>
              <w:rPr>
                <w:rFonts w:hint="eastAsia"/>
                <w:sz w:val="18"/>
                <w:szCs w:val="18"/>
                <w:lang w:eastAsia="zh-TW"/>
              </w:rPr>
              <w:t>母公司</w:t>
            </w:r>
          </w:p>
        </w:tc>
        <w:tc>
          <w:tcPr>
            <w:tcW w:w="1425" w:type="dxa"/>
            <w:vAlign w:val="bottom"/>
          </w:tcPr>
          <w:p>
            <w:pPr>
              <w:pBdr>
                <w:bottom w:val="single" w:color="auto" w:sz="4" w:space="0"/>
              </w:pBdr>
              <w:spacing w:line="240" w:lineRule="exact"/>
              <w:jc w:val="center"/>
              <w:rPr>
                <w:sz w:val="18"/>
              </w:rPr>
            </w:pPr>
            <w:r>
              <w:rPr>
                <w:rFonts w:hint="eastAsia"/>
                <w:sz w:val="18"/>
              </w:rPr>
              <w:t>稅後歸屬於少數股東</w:t>
            </w:r>
          </w:p>
        </w:tc>
        <w:tc>
          <w:tcPr>
            <w:tcW w:w="1622" w:type="dxa"/>
            <w:vMerge w:val="continue"/>
            <w:vAlign w:val="bottom"/>
          </w:tcPr>
          <w:p>
            <w:pPr>
              <w:pBdr>
                <w:bottom w:val="single" w:color="auto" w:sz="4" w:space="0"/>
              </w:pBdr>
              <w:spacing w:line="240" w:lineRule="exact"/>
              <w:jc w:val="center"/>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80" w:hRule="atLeast"/>
          <w:jc w:val="center"/>
        </w:trPr>
        <w:tc>
          <w:tcPr>
            <w:tcW w:w="931" w:type="dxa"/>
            <w:vMerge w:val="continue"/>
            <w:vAlign w:val="center"/>
          </w:tcPr>
          <w:p>
            <w:pPr>
              <w:rPr>
                <w:sz w:val="22"/>
              </w:rPr>
            </w:pPr>
          </w:p>
        </w:tc>
        <w:tc>
          <w:tcPr>
            <w:tcW w:w="1535" w:type="dxa"/>
            <w:vAlign w:val="bottom"/>
          </w:tcPr>
          <w:p>
            <w:pPr>
              <w:spacing w:line="240" w:lineRule="exact"/>
              <w:jc w:val="center"/>
              <w:rPr>
                <w:sz w:val="18"/>
              </w:rPr>
            </w:pPr>
            <w:r>
              <w:rPr>
                <w:rFonts w:hint="eastAsia"/>
                <w:sz w:val="18"/>
              </w:rPr>
              <w:t>人民幣元</w:t>
            </w:r>
          </w:p>
        </w:tc>
        <w:tc>
          <w:tcPr>
            <w:tcW w:w="1623" w:type="dxa"/>
            <w:vAlign w:val="bottom"/>
          </w:tcPr>
          <w:p>
            <w:pPr>
              <w:spacing w:line="240" w:lineRule="exact"/>
              <w:jc w:val="center"/>
              <w:rPr>
                <w:sz w:val="18"/>
              </w:rPr>
            </w:pPr>
            <w:r>
              <w:rPr>
                <w:rFonts w:hint="eastAsia"/>
                <w:sz w:val="18"/>
              </w:rPr>
              <w:t>人民幣元</w:t>
            </w:r>
          </w:p>
        </w:tc>
        <w:tc>
          <w:tcPr>
            <w:tcW w:w="473" w:type="dxa"/>
            <w:vAlign w:val="bottom"/>
          </w:tcPr>
          <w:p>
            <w:pPr>
              <w:spacing w:line="240" w:lineRule="exact"/>
              <w:jc w:val="center"/>
              <w:rPr>
                <w:sz w:val="18"/>
              </w:rPr>
            </w:pPr>
            <w:r>
              <w:rPr>
                <w:rFonts w:hint="eastAsia"/>
                <w:sz w:val="18"/>
              </w:rPr>
              <w:t>人民幣元</w:t>
            </w:r>
          </w:p>
        </w:tc>
        <w:tc>
          <w:tcPr>
            <w:tcW w:w="1463" w:type="dxa"/>
            <w:vAlign w:val="bottom"/>
          </w:tcPr>
          <w:p>
            <w:pPr>
              <w:spacing w:line="240" w:lineRule="exact"/>
              <w:jc w:val="center"/>
              <w:rPr>
                <w:sz w:val="18"/>
              </w:rPr>
            </w:pPr>
            <w:r>
              <w:rPr>
                <w:rFonts w:hint="eastAsia"/>
                <w:sz w:val="18"/>
              </w:rPr>
              <w:t>人民幣元</w:t>
            </w:r>
          </w:p>
        </w:tc>
        <w:tc>
          <w:tcPr>
            <w:tcW w:w="1589" w:type="dxa"/>
            <w:vAlign w:val="bottom"/>
          </w:tcPr>
          <w:p>
            <w:pPr>
              <w:spacing w:line="240" w:lineRule="exact"/>
              <w:jc w:val="center"/>
              <w:rPr>
                <w:sz w:val="18"/>
              </w:rPr>
            </w:pPr>
            <w:r>
              <w:rPr>
                <w:rFonts w:hint="eastAsia"/>
                <w:sz w:val="18"/>
              </w:rPr>
              <w:t>人民幣元</w:t>
            </w:r>
          </w:p>
        </w:tc>
        <w:tc>
          <w:tcPr>
            <w:tcW w:w="1425" w:type="dxa"/>
            <w:vAlign w:val="bottom"/>
          </w:tcPr>
          <w:p>
            <w:pPr>
              <w:spacing w:line="240" w:lineRule="exact"/>
              <w:jc w:val="center"/>
              <w:rPr>
                <w:sz w:val="18"/>
              </w:rPr>
            </w:pPr>
            <w:r>
              <w:rPr>
                <w:rFonts w:hint="eastAsia"/>
                <w:sz w:val="18"/>
              </w:rPr>
              <w:t>人民幣元</w:t>
            </w:r>
          </w:p>
        </w:tc>
        <w:tc>
          <w:tcPr>
            <w:tcW w:w="1622" w:type="dxa"/>
            <w:vAlign w:val="bottom"/>
          </w:tcPr>
          <w:p>
            <w:pPr>
              <w:spacing w:line="240" w:lineRule="exact"/>
              <w:jc w:val="center"/>
              <w:rPr>
                <w:sz w:val="18"/>
              </w:rPr>
            </w:pPr>
            <w:r>
              <w:rPr>
                <w:rFonts w:hint="eastAsia"/>
                <w:sz w:val="18"/>
              </w:rPr>
              <w:t>人民幣元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931" w:type="dxa"/>
            <w:vAlign w:val="center"/>
          </w:tcPr>
          <w:p>
            <w:pPr>
              <w:ind w:firstLine="4" w:firstLineChars="2"/>
              <w:rPr>
                <w:sz w:val="20"/>
                <w:lang w:eastAsia="zh-TW"/>
              </w:rPr>
            </w:pPr>
            <w:r>
              <w:rPr>
                <w:rFonts w:hint="eastAsia"/>
                <w:sz w:val="20"/>
                <w:lang w:eastAsia="zh-TW"/>
              </w:rPr>
              <w:t>一、以後不能重分類進損益的其他綜合收益</w:t>
            </w:r>
          </w:p>
          <w:p>
            <w:pPr>
              <w:ind w:firstLine="4" w:firstLineChars="2"/>
              <w:rPr>
                <w:sz w:val="20"/>
                <w:lang w:eastAsia="zh-TW"/>
              </w:rPr>
            </w:pPr>
          </w:p>
        </w:tc>
        <w:tc>
          <w:tcPr>
            <w:tcW w:w="1535" w:type="dxa"/>
            <w:vAlign w:val="center"/>
          </w:tcPr>
          <w:p>
            <w:pPr>
              <w:ind w:right="880"/>
              <w:jc w:val="right"/>
              <w:rPr>
                <w:sz w:val="20"/>
              </w:rPr>
            </w:pPr>
            <w:r>
              <w:rPr>
                <w:sz w:val="20"/>
              </w:rPr>
              <w:t>-</w:t>
            </w:r>
          </w:p>
        </w:tc>
        <w:tc>
          <w:tcPr>
            <w:tcW w:w="1623" w:type="dxa"/>
            <w:vAlign w:val="center"/>
          </w:tcPr>
          <w:p>
            <w:pPr>
              <w:jc w:val="right"/>
              <w:rPr>
                <w:sz w:val="20"/>
              </w:rPr>
            </w:pPr>
            <w:r>
              <w:rPr>
                <w:sz w:val="20"/>
              </w:rPr>
              <w:t>-</w:t>
            </w:r>
          </w:p>
        </w:tc>
        <w:tc>
          <w:tcPr>
            <w:tcW w:w="473" w:type="dxa"/>
            <w:vAlign w:val="center"/>
          </w:tcPr>
          <w:p>
            <w:pPr>
              <w:jc w:val="right"/>
              <w:rPr>
                <w:sz w:val="20"/>
              </w:rPr>
            </w:pPr>
            <w:r>
              <w:rPr>
                <w:sz w:val="20"/>
              </w:rPr>
              <w:t>-</w:t>
            </w:r>
          </w:p>
        </w:tc>
        <w:tc>
          <w:tcPr>
            <w:tcW w:w="1463" w:type="dxa"/>
            <w:vAlign w:val="center"/>
          </w:tcPr>
          <w:p>
            <w:pPr>
              <w:jc w:val="right"/>
              <w:rPr>
                <w:sz w:val="20"/>
              </w:rPr>
            </w:pPr>
            <w:r>
              <w:rPr>
                <w:sz w:val="20"/>
              </w:rPr>
              <w:t>-</w:t>
            </w:r>
          </w:p>
        </w:tc>
        <w:tc>
          <w:tcPr>
            <w:tcW w:w="1589" w:type="dxa"/>
            <w:vAlign w:val="center"/>
          </w:tcPr>
          <w:p>
            <w:pPr>
              <w:jc w:val="right"/>
              <w:rPr>
                <w:sz w:val="20"/>
              </w:rPr>
            </w:pPr>
            <w:r>
              <w:rPr>
                <w:sz w:val="20"/>
              </w:rPr>
              <w:t>-</w:t>
            </w:r>
          </w:p>
        </w:tc>
        <w:tc>
          <w:tcPr>
            <w:tcW w:w="1425" w:type="dxa"/>
            <w:vAlign w:val="center"/>
          </w:tcPr>
          <w:p>
            <w:pPr>
              <w:jc w:val="right"/>
              <w:rPr>
                <w:sz w:val="20"/>
              </w:rPr>
            </w:pPr>
            <w:r>
              <w:rPr>
                <w:sz w:val="20"/>
              </w:rPr>
              <w:t>-</w:t>
            </w:r>
          </w:p>
        </w:tc>
        <w:tc>
          <w:tcPr>
            <w:tcW w:w="1622" w:type="dxa"/>
            <w:vAlign w:val="center"/>
          </w:tcPr>
          <w:p>
            <w:pPr>
              <w:jc w:val="right"/>
              <w:rPr>
                <w:sz w:val="20"/>
              </w:rPr>
            </w:pPr>
            <w:r>
              <w:rPr>
                <w:sz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1" w:hRule="atLeast"/>
          <w:jc w:val="center"/>
        </w:trPr>
        <w:tc>
          <w:tcPr>
            <w:tcW w:w="931" w:type="dxa"/>
            <w:vAlign w:val="center"/>
          </w:tcPr>
          <w:p>
            <w:pPr>
              <w:ind w:firstLine="4" w:firstLineChars="2"/>
              <w:rPr>
                <w:sz w:val="20"/>
                <w:lang w:eastAsia="zh-TW"/>
              </w:rPr>
            </w:pPr>
            <w:r>
              <w:rPr>
                <w:rFonts w:hint="eastAsia"/>
                <w:sz w:val="20"/>
                <w:lang w:eastAsia="zh-TW"/>
              </w:rPr>
              <w:t>二、以後將重分類進損益的其他綜合收益</w:t>
            </w:r>
          </w:p>
          <w:p>
            <w:pPr>
              <w:ind w:firstLine="4" w:firstLineChars="2"/>
              <w:rPr>
                <w:sz w:val="20"/>
                <w:lang w:eastAsia="zh-TW"/>
              </w:rPr>
            </w:pPr>
          </w:p>
        </w:tc>
        <w:tc>
          <w:tcPr>
            <w:tcW w:w="1535" w:type="dxa"/>
            <w:vAlign w:val="top"/>
          </w:tcPr>
          <w:p>
            <w:pPr>
              <w:jc w:val="right"/>
              <w:rPr>
                <w:sz w:val="20"/>
              </w:rPr>
            </w:pPr>
            <w:r>
              <w:rPr>
                <w:sz w:val="20"/>
              </w:rPr>
              <w:t>139,421,221.69</w:t>
            </w:r>
          </w:p>
        </w:tc>
        <w:tc>
          <w:tcPr>
            <w:tcW w:w="1623" w:type="dxa"/>
            <w:vAlign w:val="top"/>
          </w:tcPr>
          <w:p>
            <w:pPr>
              <w:widowControl/>
              <w:spacing w:before="100" w:beforeAutospacing="1" w:after="100" w:afterAutospacing="1"/>
              <w:jc w:val="right"/>
              <w:rPr>
                <w:kern w:val="0"/>
                <w:sz w:val="20"/>
              </w:rPr>
            </w:pPr>
            <w:r>
              <w:rPr>
                <w:kern w:val="0"/>
                <w:sz w:val="20"/>
              </w:rPr>
              <w:t xml:space="preserve">70,574,334.90 </w:t>
            </w:r>
          </w:p>
          <w:p>
            <w:pPr>
              <w:jc w:val="right"/>
              <w:rPr>
                <w:sz w:val="20"/>
              </w:rPr>
            </w:pPr>
          </w:p>
        </w:tc>
        <w:tc>
          <w:tcPr>
            <w:tcW w:w="473" w:type="dxa"/>
            <w:vAlign w:val="top"/>
          </w:tcPr>
          <w:p>
            <w:pPr>
              <w:jc w:val="right"/>
              <w:rPr>
                <w:sz w:val="20"/>
              </w:rPr>
            </w:pPr>
            <w:r>
              <w:rPr>
                <w:sz w:val="20"/>
              </w:rPr>
              <w:t>-</w:t>
            </w:r>
          </w:p>
        </w:tc>
        <w:tc>
          <w:tcPr>
            <w:tcW w:w="1463" w:type="dxa"/>
            <w:vAlign w:val="top"/>
          </w:tcPr>
          <w:p>
            <w:pPr>
              <w:widowControl/>
              <w:spacing w:before="100" w:beforeAutospacing="1" w:after="100" w:afterAutospacing="1"/>
              <w:jc w:val="right"/>
              <w:rPr>
                <w:kern w:val="0"/>
                <w:sz w:val="20"/>
              </w:rPr>
            </w:pPr>
            <w:r>
              <w:rPr>
                <w:kern w:val="0"/>
                <w:sz w:val="20"/>
              </w:rPr>
              <w:t xml:space="preserve">10,779,967.20 </w:t>
            </w:r>
          </w:p>
          <w:p>
            <w:pPr>
              <w:jc w:val="right"/>
              <w:rPr>
                <w:sz w:val="20"/>
              </w:rPr>
            </w:pPr>
          </w:p>
        </w:tc>
        <w:tc>
          <w:tcPr>
            <w:tcW w:w="1589" w:type="dxa"/>
            <w:vAlign w:val="top"/>
          </w:tcPr>
          <w:p>
            <w:pPr>
              <w:widowControl/>
              <w:spacing w:before="100" w:beforeAutospacing="1" w:after="100" w:afterAutospacing="1"/>
              <w:jc w:val="right"/>
              <w:rPr>
                <w:kern w:val="0"/>
                <w:sz w:val="20"/>
              </w:rPr>
            </w:pPr>
            <w:r>
              <w:rPr>
                <w:kern w:val="0"/>
                <w:sz w:val="20"/>
              </w:rPr>
              <w:t xml:space="preserve">59,964,184.38 </w:t>
            </w:r>
          </w:p>
          <w:p>
            <w:pPr>
              <w:jc w:val="right"/>
              <w:rPr>
                <w:sz w:val="20"/>
              </w:rPr>
            </w:pPr>
          </w:p>
        </w:tc>
        <w:tc>
          <w:tcPr>
            <w:tcW w:w="1425" w:type="dxa"/>
            <w:vAlign w:val="top"/>
          </w:tcPr>
          <w:p>
            <w:pPr>
              <w:widowControl/>
              <w:spacing w:before="100" w:beforeAutospacing="1" w:after="100" w:afterAutospacing="1"/>
              <w:jc w:val="right"/>
              <w:rPr>
                <w:kern w:val="0"/>
                <w:sz w:val="20"/>
              </w:rPr>
            </w:pPr>
            <w:r>
              <w:rPr>
                <w:kern w:val="0"/>
                <w:sz w:val="20"/>
              </w:rPr>
              <w:t xml:space="preserve">(169,816.68) </w:t>
            </w:r>
          </w:p>
          <w:p>
            <w:pPr>
              <w:jc w:val="right"/>
              <w:rPr>
                <w:sz w:val="20"/>
              </w:rPr>
            </w:pPr>
          </w:p>
        </w:tc>
        <w:tc>
          <w:tcPr>
            <w:tcW w:w="1622" w:type="dxa"/>
            <w:vAlign w:val="top"/>
          </w:tcPr>
          <w:p>
            <w:pPr>
              <w:widowControl/>
              <w:spacing w:before="100" w:beforeAutospacing="1" w:after="100" w:afterAutospacing="1"/>
              <w:jc w:val="right"/>
              <w:rPr>
                <w:kern w:val="0"/>
                <w:sz w:val="20"/>
              </w:rPr>
            </w:pPr>
            <w:r>
              <w:rPr>
                <w:kern w:val="0"/>
                <w:sz w:val="20"/>
              </w:rPr>
              <w:t xml:space="preserve">199,385,406.07 </w:t>
            </w:r>
          </w:p>
          <w:p>
            <w:pPr>
              <w:jc w:val="right"/>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931" w:type="dxa"/>
            <w:vAlign w:val="center"/>
          </w:tcPr>
          <w:p>
            <w:pPr>
              <w:ind w:firstLine="4" w:firstLineChars="2"/>
              <w:rPr>
                <w:sz w:val="20"/>
                <w:lang w:eastAsia="zh-TW"/>
              </w:rPr>
            </w:pPr>
            <w:r>
              <w:rPr>
                <w:rFonts w:hint="eastAsia"/>
                <w:sz w:val="20"/>
                <w:lang w:eastAsia="zh-TW"/>
              </w:rPr>
              <w:t>可供出售金融資產公允價值變動損益</w:t>
            </w:r>
          </w:p>
          <w:p>
            <w:pPr>
              <w:ind w:firstLine="4" w:firstLineChars="2"/>
              <w:rPr>
                <w:sz w:val="20"/>
                <w:lang w:eastAsia="zh-TW"/>
              </w:rPr>
            </w:pPr>
          </w:p>
        </w:tc>
        <w:tc>
          <w:tcPr>
            <w:tcW w:w="1535" w:type="dxa"/>
            <w:vAlign w:val="top"/>
          </w:tcPr>
          <w:p>
            <w:pPr>
              <w:jc w:val="right"/>
              <w:rPr>
                <w:sz w:val="20"/>
              </w:rPr>
            </w:pPr>
            <w:r>
              <w:rPr>
                <w:sz w:val="20"/>
              </w:rPr>
              <w:t>140,292,046.10</w:t>
            </w:r>
          </w:p>
        </w:tc>
        <w:tc>
          <w:tcPr>
            <w:tcW w:w="1623" w:type="dxa"/>
            <w:vAlign w:val="top"/>
          </w:tcPr>
          <w:p>
            <w:pPr>
              <w:widowControl/>
              <w:spacing w:before="100" w:beforeAutospacing="1" w:after="100" w:afterAutospacing="1"/>
              <w:jc w:val="right"/>
              <w:rPr>
                <w:kern w:val="0"/>
                <w:sz w:val="20"/>
              </w:rPr>
            </w:pPr>
            <w:r>
              <w:rPr>
                <w:kern w:val="0"/>
                <w:sz w:val="20"/>
              </w:rPr>
              <w:t xml:space="preserve">71,866,448.00 </w:t>
            </w:r>
          </w:p>
          <w:p>
            <w:pPr>
              <w:jc w:val="right"/>
              <w:rPr>
                <w:sz w:val="20"/>
              </w:rPr>
            </w:pPr>
          </w:p>
        </w:tc>
        <w:tc>
          <w:tcPr>
            <w:tcW w:w="473" w:type="dxa"/>
            <w:vAlign w:val="top"/>
          </w:tcPr>
          <w:p>
            <w:pPr>
              <w:jc w:val="right"/>
              <w:rPr>
                <w:sz w:val="20"/>
              </w:rPr>
            </w:pPr>
            <w:r>
              <w:rPr>
                <w:sz w:val="20"/>
              </w:rPr>
              <w:t>-</w:t>
            </w:r>
          </w:p>
        </w:tc>
        <w:tc>
          <w:tcPr>
            <w:tcW w:w="1463" w:type="dxa"/>
            <w:vAlign w:val="top"/>
          </w:tcPr>
          <w:p>
            <w:pPr>
              <w:widowControl/>
              <w:spacing w:before="100" w:beforeAutospacing="1" w:after="100" w:afterAutospacing="1"/>
              <w:jc w:val="right"/>
              <w:rPr>
                <w:kern w:val="0"/>
                <w:sz w:val="20"/>
              </w:rPr>
            </w:pPr>
            <w:r>
              <w:rPr>
                <w:kern w:val="0"/>
                <w:sz w:val="20"/>
              </w:rPr>
              <w:t xml:space="preserve">10,779,967.20 </w:t>
            </w:r>
          </w:p>
          <w:p>
            <w:pPr>
              <w:jc w:val="right"/>
              <w:rPr>
                <w:sz w:val="20"/>
              </w:rPr>
            </w:pPr>
          </w:p>
        </w:tc>
        <w:tc>
          <w:tcPr>
            <w:tcW w:w="1589" w:type="dxa"/>
            <w:vAlign w:val="top"/>
          </w:tcPr>
          <w:p>
            <w:pPr>
              <w:widowControl/>
              <w:spacing w:before="100" w:beforeAutospacing="1" w:after="100" w:afterAutospacing="1"/>
              <w:jc w:val="right"/>
              <w:rPr>
                <w:kern w:val="0"/>
                <w:sz w:val="20"/>
              </w:rPr>
            </w:pPr>
            <w:r>
              <w:rPr>
                <w:kern w:val="0"/>
                <w:sz w:val="20"/>
              </w:rPr>
              <w:t xml:space="preserve">61,086,480.80 </w:t>
            </w:r>
          </w:p>
          <w:p>
            <w:pPr>
              <w:jc w:val="right"/>
              <w:rPr>
                <w:sz w:val="20"/>
              </w:rPr>
            </w:pPr>
          </w:p>
        </w:tc>
        <w:tc>
          <w:tcPr>
            <w:tcW w:w="1425" w:type="dxa"/>
            <w:vAlign w:val="top"/>
          </w:tcPr>
          <w:p>
            <w:pPr>
              <w:jc w:val="right"/>
              <w:rPr>
                <w:sz w:val="20"/>
              </w:rPr>
            </w:pPr>
            <w:r>
              <w:rPr>
                <w:sz w:val="20"/>
              </w:rPr>
              <w:t>-</w:t>
            </w:r>
          </w:p>
        </w:tc>
        <w:tc>
          <w:tcPr>
            <w:tcW w:w="1622" w:type="dxa"/>
            <w:vAlign w:val="top"/>
          </w:tcPr>
          <w:p>
            <w:pPr>
              <w:widowControl/>
              <w:spacing w:before="100" w:beforeAutospacing="1" w:after="100" w:afterAutospacing="1"/>
              <w:jc w:val="right"/>
              <w:rPr>
                <w:kern w:val="0"/>
                <w:sz w:val="20"/>
              </w:rPr>
            </w:pPr>
            <w:r>
              <w:rPr>
                <w:kern w:val="0"/>
                <w:sz w:val="20"/>
              </w:rPr>
              <w:t xml:space="preserve">201,378,526.90 </w:t>
            </w:r>
          </w:p>
          <w:p>
            <w:pPr>
              <w:jc w:val="right"/>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931" w:type="dxa"/>
            <w:vAlign w:val="center"/>
          </w:tcPr>
          <w:p>
            <w:pPr>
              <w:rPr>
                <w:sz w:val="20"/>
              </w:rPr>
            </w:pPr>
            <w:r>
              <w:rPr>
                <w:rFonts w:hint="eastAsia"/>
                <w:sz w:val="20"/>
                <w:lang w:eastAsia="zh-TW"/>
              </w:rPr>
              <w:t>外幣財務報表折算差額</w:t>
            </w:r>
          </w:p>
          <w:p>
            <w:pPr>
              <w:rPr>
                <w:sz w:val="20"/>
              </w:rPr>
            </w:pPr>
          </w:p>
        </w:tc>
        <w:tc>
          <w:tcPr>
            <w:tcW w:w="1535" w:type="dxa"/>
            <w:vAlign w:val="top"/>
          </w:tcPr>
          <w:p>
            <w:pPr>
              <w:widowControl/>
              <w:spacing w:before="100" w:beforeAutospacing="1" w:after="100" w:afterAutospacing="1"/>
              <w:jc w:val="right"/>
              <w:rPr>
                <w:kern w:val="0"/>
                <w:sz w:val="20"/>
              </w:rPr>
            </w:pPr>
            <w:r>
              <w:rPr>
                <w:rFonts w:hint="eastAsia"/>
                <w:kern w:val="0"/>
                <w:sz w:val="20"/>
              </w:rPr>
              <w:t>（</w:t>
            </w:r>
            <w:r>
              <w:rPr>
                <w:kern w:val="0"/>
                <w:sz w:val="20"/>
              </w:rPr>
              <w:t>870,824.41</w:t>
            </w:r>
            <w:r>
              <w:rPr>
                <w:rFonts w:hint="eastAsia"/>
                <w:kern w:val="0"/>
                <w:sz w:val="20"/>
              </w:rPr>
              <w:t>）</w:t>
            </w:r>
            <w:r>
              <w:rPr>
                <w:kern w:val="0"/>
                <w:sz w:val="20"/>
              </w:rPr>
              <w:t xml:space="preserve"> </w:t>
            </w:r>
          </w:p>
          <w:p>
            <w:pPr>
              <w:jc w:val="right"/>
              <w:rPr>
                <w:sz w:val="20"/>
              </w:rPr>
            </w:pPr>
          </w:p>
        </w:tc>
        <w:tc>
          <w:tcPr>
            <w:tcW w:w="1623" w:type="dxa"/>
            <w:vAlign w:val="top"/>
          </w:tcPr>
          <w:p>
            <w:pPr>
              <w:widowControl/>
              <w:spacing w:before="100" w:beforeAutospacing="1" w:after="100" w:afterAutospacing="1"/>
              <w:jc w:val="right"/>
              <w:rPr>
                <w:kern w:val="0"/>
                <w:sz w:val="20"/>
              </w:rPr>
            </w:pPr>
            <w:r>
              <w:rPr>
                <w:rFonts w:hint="eastAsia"/>
                <w:kern w:val="0"/>
                <w:sz w:val="20"/>
              </w:rPr>
              <w:t>（</w:t>
            </w:r>
            <w:r>
              <w:rPr>
                <w:kern w:val="0"/>
                <w:sz w:val="20"/>
              </w:rPr>
              <w:t>1,292,113.10</w:t>
            </w:r>
            <w:r>
              <w:rPr>
                <w:rFonts w:hint="eastAsia"/>
                <w:kern w:val="0"/>
                <w:sz w:val="20"/>
              </w:rPr>
              <w:t>）</w:t>
            </w:r>
            <w:r>
              <w:rPr>
                <w:kern w:val="0"/>
                <w:sz w:val="20"/>
              </w:rPr>
              <w:t xml:space="preserve"> </w:t>
            </w:r>
          </w:p>
          <w:p>
            <w:pPr>
              <w:jc w:val="right"/>
              <w:rPr>
                <w:sz w:val="20"/>
              </w:rPr>
            </w:pPr>
          </w:p>
        </w:tc>
        <w:tc>
          <w:tcPr>
            <w:tcW w:w="473" w:type="dxa"/>
            <w:vAlign w:val="top"/>
          </w:tcPr>
          <w:p>
            <w:pPr>
              <w:jc w:val="right"/>
              <w:rPr>
                <w:sz w:val="20"/>
              </w:rPr>
            </w:pPr>
            <w:r>
              <w:rPr>
                <w:sz w:val="20"/>
              </w:rPr>
              <w:t>-</w:t>
            </w:r>
          </w:p>
        </w:tc>
        <w:tc>
          <w:tcPr>
            <w:tcW w:w="1463" w:type="dxa"/>
            <w:vAlign w:val="top"/>
          </w:tcPr>
          <w:p>
            <w:pPr>
              <w:jc w:val="right"/>
              <w:rPr>
                <w:sz w:val="20"/>
              </w:rPr>
            </w:pPr>
            <w:r>
              <w:rPr>
                <w:sz w:val="20"/>
              </w:rPr>
              <w:t>-</w:t>
            </w:r>
          </w:p>
        </w:tc>
        <w:tc>
          <w:tcPr>
            <w:tcW w:w="1589" w:type="dxa"/>
            <w:vAlign w:val="top"/>
          </w:tcPr>
          <w:p>
            <w:pPr>
              <w:widowControl/>
              <w:spacing w:before="100" w:beforeAutospacing="1" w:after="100" w:afterAutospacing="1"/>
              <w:jc w:val="right"/>
              <w:rPr>
                <w:kern w:val="0"/>
                <w:sz w:val="20"/>
              </w:rPr>
            </w:pPr>
            <w:r>
              <w:rPr>
                <w:rFonts w:hint="eastAsia"/>
                <w:kern w:val="0"/>
                <w:sz w:val="20"/>
              </w:rPr>
              <w:t>（</w:t>
            </w:r>
            <w:r>
              <w:rPr>
                <w:kern w:val="0"/>
                <w:sz w:val="20"/>
              </w:rPr>
              <w:t>1,122,296.42</w:t>
            </w:r>
            <w:r>
              <w:rPr>
                <w:rFonts w:hint="eastAsia"/>
                <w:kern w:val="0"/>
                <w:sz w:val="20"/>
              </w:rPr>
              <w:t>）</w:t>
            </w:r>
            <w:r>
              <w:rPr>
                <w:kern w:val="0"/>
                <w:sz w:val="20"/>
              </w:rPr>
              <w:t xml:space="preserve"> </w:t>
            </w:r>
          </w:p>
          <w:p>
            <w:pPr>
              <w:jc w:val="right"/>
              <w:rPr>
                <w:sz w:val="20"/>
              </w:rPr>
            </w:pPr>
          </w:p>
        </w:tc>
        <w:tc>
          <w:tcPr>
            <w:tcW w:w="1425" w:type="dxa"/>
            <w:vAlign w:val="top"/>
          </w:tcPr>
          <w:p>
            <w:pPr>
              <w:widowControl/>
              <w:spacing w:before="100" w:beforeAutospacing="1" w:after="100" w:afterAutospacing="1"/>
              <w:jc w:val="right"/>
              <w:rPr>
                <w:kern w:val="0"/>
                <w:sz w:val="20"/>
              </w:rPr>
            </w:pPr>
            <w:r>
              <w:rPr>
                <w:rFonts w:hint="eastAsia"/>
                <w:kern w:val="0"/>
                <w:sz w:val="20"/>
              </w:rPr>
              <w:t>（</w:t>
            </w:r>
            <w:r>
              <w:rPr>
                <w:kern w:val="0"/>
                <w:sz w:val="20"/>
              </w:rPr>
              <w:t>169,816.68</w:t>
            </w:r>
            <w:r>
              <w:rPr>
                <w:rFonts w:hint="eastAsia"/>
                <w:kern w:val="0"/>
                <w:sz w:val="20"/>
              </w:rPr>
              <w:t>）</w:t>
            </w:r>
            <w:r>
              <w:rPr>
                <w:kern w:val="0"/>
                <w:sz w:val="20"/>
              </w:rPr>
              <w:t xml:space="preserve"> </w:t>
            </w:r>
          </w:p>
          <w:p>
            <w:pPr>
              <w:jc w:val="right"/>
              <w:rPr>
                <w:sz w:val="20"/>
              </w:rPr>
            </w:pPr>
          </w:p>
        </w:tc>
        <w:tc>
          <w:tcPr>
            <w:tcW w:w="1622" w:type="dxa"/>
            <w:vAlign w:val="top"/>
          </w:tcPr>
          <w:p>
            <w:pPr>
              <w:widowControl/>
              <w:spacing w:before="100" w:beforeAutospacing="1" w:after="100" w:afterAutospacing="1"/>
              <w:jc w:val="right"/>
              <w:rPr>
                <w:kern w:val="0"/>
                <w:sz w:val="20"/>
              </w:rPr>
            </w:pPr>
            <w:r>
              <w:rPr>
                <w:rFonts w:hint="eastAsia"/>
                <w:kern w:val="0"/>
                <w:sz w:val="20"/>
              </w:rPr>
              <w:t>（</w:t>
            </w:r>
            <w:r>
              <w:rPr>
                <w:kern w:val="0"/>
                <w:sz w:val="20"/>
              </w:rPr>
              <w:t>1,993,120.83</w:t>
            </w:r>
            <w:r>
              <w:rPr>
                <w:rFonts w:hint="eastAsia"/>
                <w:kern w:val="0"/>
                <w:sz w:val="20"/>
              </w:rPr>
              <w:t>）</w:t>
            </w:r>
            <w:r>
              <w:rPr>
                <w:kern w:val="0"/>
                <w:sz w:val="20"/>
              </w:rPr>
              <w:t xml:space="preserve"> </w:t>
            </w:r>
          </w:p>
          <w:p>
            <w:pPr>
              <w:jc w:val="right"/>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97" w:hRule="atLeast"/>
          <w:jc w:val="center"/>
        </w:trPr>
        <w:tc>
          <w:tcPr>
            <w:tcW w:w="931" w:type="dxa"/>
            <w:vAlign w:val="top"/>
          </w:tcPr>
          <w:p>
            <w:pPr>
              <w:jc w:val="center"/>
              <w:rPr>
                <w:b/>
                <w:sz w:val="20"/>
              </w:rPr>
            </w:pPr>
            <w:r>
              <w:rPr>
                <w:rFonts w:hint="eastAsia"/>
                <w:b/>
                <w:sz w:val="20"/>
              </w:rPr>
              <w:t>合計</w:t>
            </w:r>
          </w:p>
        </w:tc>
        <w:tc>
          <w:tcPr>
            <w:tcW w:w="1535" w:type="dxa"/>
            <w:vAlign w:val="top"/>
          </w:tcPr>
          <w:p>
            <w:pPr>
              <w:jc w:val="right"/>
              <w:rPr>
                <w:b/>
                <w:sz w:val="20"/>
              </w:rPr>
            </w:pPr>
            <w:r>
              <w:rPr>
                <w:b/>
                <w:sz w:val="20"/>
              </w:rPr>
              <w:t xml:space="preserve">139,421,221.69 </w:t>
            </w:r>
          </w:p>
        </w:tc>
        <w:tc>
          <w:tcPr>
            <w:tcW w:w="1623" w:type="dxa"/>
            <w:vAlign w:val="top"/>
          </w:tcPr>
          <w:p>
            <w:pPr>
              <w:widowControl/>
              <w:spacing w:before="100" w:beforeAutospacing="1" w:after="100" w:afterAutospacing="1"/>
              <w:jc w:val="right"/>
              <w:rPr>
                <w:b/>
                <w:kern w:val="0"/>
                <w:sz w:val="20"/>
              </w:rPr>
            </w:pPr>
            <w:r>
              <w:rPr>
                <w:b/>
                <w:kern w:val="0"/>
                <w:sz w:val="20"/>
              </w:rPr>
              <w:t xml:space="preserve">70,574,334.90 </w:t>
            </w:r>
          </w:p>
          <w:p>
            <w:pPr>
              <w:jc w:val="right"/>
              <w:rPr>
                <w:b/>
                <w:sz w:val="20"/>
              </w:rPr>
            </w:pPr>
          </w:p>
        </w:tc>
        <w:tc>
          <w:tcPr>
            <w:tcW w:w="473" w:type="dxa"/>
            <w:vAlign w:val="top"/>
          </w:tcPr>
          <w:p>
            <w:pPr>
              <w:jc w:val="right"/>
              <w:rPr>
                <w:b/>
                <w:sz w:val="20"/>
              </w:rPr>
            </w:pPr>
            <w:r>
              <w:rPr>
                <w:b/>
                <w:sz w:val="20"/>
              </w:rPr>
              <w:t>-</w:t>
            </w:r>
            <w:r>
              <w:rPr>
                <w:rFonts w:hint="eastAsia"/>
                <w:b/>
                <w:sz w:val="20"/>
              </w:rPr>
              <w:t>　</w:t>
            </w:r>
          </w:p>
        </w:tc>
        <w:tc>
          <w:tcPr>
            <w:tcW w:w="1463" w:type="dxa"/>
            <w:vAlign w:val="top"/>
          </w:tcPr>
          <w:p>
            <w:pPr>
              <w:widowControl/>
              <w:spacing w:before="100" w:beforeAutospacing="1" w:after="100" w:afterAutospacing="1"/>
              <w:jc w:val="right"/>
              <w:rPr>
                <w:b/>
                <w:kern w:val="0"/>
                <w:sz w:val="20"/>
              </w:rPr>
            </w:pPr>
            <w:r>
              <w:rPr>
                <w:b/>
                <w:kern w:val="0"/>
                <w:sz w:val="20"/>
              </w:rPr>
              <w:t xml:space="preserve">10,779,967.20 </w:t>
            </w:r>
          </w:p>
          <w:p>
            <w:pPr>
              <w:jc w:val="right"/>
              <w:rPr>
                <w:b/>
                <w:sz w:val="20"/>
              </w:rPr>
            </w:pPr>
          </w:p>
        </w:tc>
        <w:tc>
          <w:tcPr>
            <w:tcW w:w="1589" w:type="dxa"/>
            <w:vAlign w:val="top"/>
          </w:tcPr>
          <w:p>
            <w:pPr>
              <w:widowControl/>
              <w:spacing w:before="100" w:beforeAutospacing="1" w:after="100" w:afterAutospacing="1"/>
              <w:jc w:val="right"/>
              <w:rPr>
                <w:b/>
                <w:kern w:val="0"/>
                <w:sz w:val="20"/>
              </w:rPr>
            </w:pPr>
            <w:r>
              <w:rPr>
                <w:b/>
                <w:kern w:val="0"/>
                <w:sz w:val="20"/>
              </w:rPr>
              <w:t xml:space="preserve">59,964,184.38 </w:t>
            </w:r>
          </w:p>
          <w:p>
            <w:pPr>
              <w:jc w:val="right"/>
              <w:rPr>
                <w:b/>
                <w:sz w:val="20"/>
              </w:rPr>
            </w:pPr>
          </w:p>
        </w:tc>
        <w:tc>
          <w:tcPr>
            <w:tcW w:w="1425" w:type="dxa"/>
            <w:vAlign w:val="top"/>
          </w:tcPr>
          <w:p>
            <w:pPr>
              <w:widowControl/>
              <w:spacing w:before="100" w:beforeAutospacing="1" w:after="100" w:afterAutospacing="1"/>
              <w:jc w:val="right"/>
              <w:rPr>
                <w:b/>
                <w:kern w:val="0"/>
                <w:sz w:val="20"/>
              </w:rPr>
            </w:pPr>
            <w:r>
              <w:rPr>
                <w:rFonts w:hint="eastAsia"/>
                <w:b/>
                <w:kern w:val="0"/>
                <w:sz w:val="20"/>
              </w:rPr>
              <w:t>（</w:t>
            </w:r>
            <w:r>
              <w:rPr>
                <w:b/>
                <w:kern w:val="0"/>
                <w:sz w:val="20"/>
              </w:rPr>
              <w:t>169,816.68</w:t>
            </w:r>
            <w:r>
              <w:rPr>
                <w:rFonts w:hint="eastAsia"/>
                <w:b/>
                <w:kern w:val="0"/>
                <w:sz w:val="20"/>
              </w:rPr>
              <w:t>）</w:t>
            </w:r>
            <w:r>
              <w:rPr>
                <w:b/>
                <w:kern w:val="0"/>
                <w:sz w:val="20"/>
              </w:rPr>
              <w:t xml:space="preserve"> </w:t>
            </w:r>
          </w:p>
          <w:p>
            <w:pPr>
              <w:ind w:right="330"/>
              <w:jc w:val="right"/>
              <w:rPr>
                <w:b/>
                <w:sz w:val="20"/>
              </w:rPr>
            </w:pPr>
          </w:p>
        </w:tc>
        <w:tc>
          <w:tcPr>
            <w:tcW w:w="1622" w:type="dxa"/>
            <w:vAlign w:val="top"/>
          </w:tcPr>
          <w:p>
            <w:pPr>
              <w:widowControl/>
              <w:spacing w:before="100" w:beforeAutospacing="1" w:after="100" w:afterAutospacing="1"/>
              <w:jc w:val="right"/>
              <w:rPr>
                <w:b/>
                <w:kern w:val="0"/>
                <w:sz w:val="20"/>
              </w:rPr>
            </w:pPr>
            <w:r>
              <w:rPr>
                <w:b/>
                <w:kern w:val="0"/>
                <w:sz w:val="20"/>
              </w:rPr>
              <w:t xml:space="preserve">199,385,406.07 </w:t>
            </w:r>
          </w:p>
          <w:p>
            <w:pPr>
              <w:jc w:val="right"/>
              <w:rPr>
                <w:b/>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931" w:type="dxa"/>
            <w:vAlign w:val="center"/>
          </w:tcPr>
          <w:p/>
        </w:tc>
        <w:tc>
          <w:tcPr>
            <w:tcW w:w="1535" w:type="dxa"/>
            <w:vAlign w:val="center"/>
          </w:tcPr>
          <w:p>
            <w:pPr>
              <w:wordWrap w:val="0"/>
              <w:jc w:val="right"/>
              <w:rPr>
                <w:sz w:val="22"/>
                <w:u w:val="double"/>
              </w:rPr>
            </w:pPr>
          </w:p>
        </w:tc>
        <w:tc>
          <w:tcPr>
            <w:tcW w:w="1623" w:type="dxa"/>
            <w:vAlign w:val="top"/>
          </w:tcPr>
          <w:p/>
        </w:tc>
        <w:tc>
          <w:tcPr>
            <w:tcW w:w="473" w:type="dxa"/>
            <w:vAlign w:val="top"/>
          </w:tcPr>
          <w:p/>
        </w:tc>
        <w:tc>
          <w:tcPr>
            <w:tcW w:w="1463" w:type="dxa"/>
            <w:vAlign w:val="top"/>
          </w:tcPr>
          <w:p/>
        </w:tc>
        <w:tc>
          <w:tcPr>
            <w:tcW w:w="1589" w:type="dxa"/>
            <w:vAlign w:val="top"/>
          </w:tcPr>
          <w:p/>
        </w:tc>
        <w:tc>
          <w:tcPr>
            <w:tcW w:w="1425" w:type="dxa"/>
            <w:vAlign w:val="top"/>
          </w:tcPr>
          <w:p/>
        </w:tc>
        <w:tc>
          <w:tcPr>
            <w:tcW w:w="1622" w:type="dxa"/>
            <w:vAlign w:val="bottom"/>
          </w:tcPr>
          <w:p/>
        </w:tc>
      </w:tr>
    </w:tbl>
    <w:p>
      <w:pPr>
        <w:spacing w:line="360" w:lineRule="exact"/>
        <w:rPr>
          <w:sz w:val="22"/>
        </w:rPr>
      </w:pPr>
    </w:p>
    <w:p>
      <w:pPr>
        <w:numPr>
          <w:ilvl w:val="0"/>
          <w:numId w:val="4"/>
        </w:numPr>
        <w:spacing w:line="320" w:lineRule="exact"/>
        <w:rPr>
          <w:b/>
          <w:sz w:val="22"/>
        </w:rPr>
      </w:pPr>
      <w:r>
        <w:rPr>
          <w:rFonts w:hint="eastAsia"/>
          <w:b/>
          <w:sz w:val="22"/>
        </w:rPr>
        <w:t>未分配利潤</w:t>
      </w:r>
    </w:p>
    <w:tbl>
      <w:tblPr>
        <w:tblW w:w="8607" w:type="dxa"/>
        <w:tblInd w:w="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507"/>
        <w:gridCol w:w="1996"/>
        <w:gridCol w:w="1996"/>
        <w:gridCol w:w="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07" w:type="dxa"/>
            <w:vAlign w:val="top"/>
          </w:tcPr>
          <w:p>
            <w:pPr>
              <w:spacing w:line="240" w:lineRule="exact"/>
              <w:jc w:val="center"/>
              <w:rPr>
                <w:b/>
                <w:sz w:val="22"/>
              </w:rPr>
            </w:pPr>
          </w:p>
          <w:p>
            <w:pPr>
              <w:spacing w:line="240" w:lineRule="exact"/>
              <w:jc w:val="center"/>
              <w:rPr>
                <w:sz w:val="22"/>
              </w:rPr>
            </w:pPr>
          </w:p>
        </w:tc>
        <w:tc>
          <w:tcPr>
            <w:tcW w:w="1996" w:type="dxa"/>
            <w:vAlign w:val="top"/>
          </w:tcPr>
          <w:p>
            <w:pPr>
              <w:pBdr>
                <w:bottom w:val="single" w:color="auto" w:sz="4" w:space="0"/>
              </w:pBdr>
              <w:spacing w:line="240" w:lineRule="exact"/>
              <w:jc w:val="center"/>
              <w:rPr>
                <w:sz w:val="22"/>
              </w:rPr>
            </w:pPr>
            <w:r>
              <w:rPr>
                <w:rFonts w:hint="eastAsia"/>
                <w:sz w:val="22"/>
              </w:rPr>
              <w:t>二零一七年</w:t>
            </w:r>
          </w:p>
          <w:p>
            <w:pPr>
              <w:pBdr>
                <w:bottom w:val="single" w:color="auto" w:sz="4" w:space="0"/>
              </w:pBdr>
              <w:spacing w:line="240" w:lineRule="exact"/>
              <w:jc w:val="center"/>
              <w:rPr>
                <w:sz w:val="22"/>
              </w:rPr>
            </w:pPr>
            <w:r>
              <w:rPr>
                <w:rFonts w:hint="eastAsia"/>
                <w:sz w:val="22"/>
              </w:rPr>
              <w:t>十二月三十一日</w:t>
            </w:r>
          </w:p>
        </w:tc>
        <w:tc>
          <w:tcPr>
            <w:tcW w:w="2104" w:type="dxa"/>
            <w:gridSpan w:val="2"/>
            <w:vAlign w:val="top"/>
          </w:tcPr>
          <w:p>
            <w:pPr>
              <w:pBdr>
                <w:bottom w:val="single" w:color="auto" w:sz="4" w:space="0"/>
              </w:pBdr>
              <w:spacing w:line="240" w:lineRule="exact"/>
              <w:jc w:val="center"/>
              <w:rPr>
                <w:sz w:val="22"/>
              </w:rPr>
            </w:pPr>
            <w:r>
              <w:rPr>
                <w:rFonts w:hint="eastAsia"/>
                <w:sz w:val="22"/>
              </w:rPr>
              <w:t>二零一六年</w:t>
            </w:r>
          </w:p>
          <w:p>
            <w:pPr>
              <w:pBdr>
                <w:bottom w:val="single" w:color="auto" w:sz="4" w:space="0"/>
              </w:pBdr>
              <w:spacing w:line="240" w:lineRule="exact"/>
              <w:jc w:val="center"/>
              <w:rPr>
                <w:sz w:val="22"/>
                <w:u w:val="single"/>
              </w:rPr>
            </w:pPr>
            <w:r>
              <w:rPr>
                <w:rFonts w:hint="eastAsia"/>
                <w:sz w:val="22"/>
              </w:rPr>
              <w:t>十二月三十一日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108" w:type="dxa"/>
        </w:trPr>
        <w:tc>
          <w:tcPr>
            <w:tcW w:w="4507" w:type="dxa"/>
            <w:vAlign w:val="center"/>
          </w:tcPr>
          <w:p>
            <w:pPr>
              <w:rPr>
                <w:sz w:val="22"/>
              </w:rPr>
            </w:pPr>
          </w:p>
        </w:tc>
        <w:tc>
          <w:tcPr>
            <w:tcW w:w="1996" w:type="dxa"/>
            <w:vAlign w:val="top"/>
          </w:tcPr>
          <w:p>
            <w:pPr>
              <w:spacing w:line="240" w:lineRule="exact"/>
              <w:jc w:val="center"/>
              <w:rPr>
                <w:sz w:val="22"/>
              </w:rPr>
            </w:pPr>
            <w:r>
              <w:rPr>
                <w:rFonts w:hint="eastAsia"/>
                <w:sz w:val="22"/>
              </w:rPr>
              <w:t>人民幣元</w:t>
            </w:r>
          </w:p>
        </w:tc>
        <w:tc>
          <w:tcPr>
            <w:tcW w:w="1996" w:type="dxa"/>
            <w:vAlign w:val="top"/>
          </w:tcPr>
          <w:p>
            <w:pPr>
              <w:spacing w:line="240" w:lineRule="exact"/>
              <w:jc w:val="center"/>
              <w:rPr>
                <w:sz w:val="22"/>
              </w:rPr>
            </w:pPr>
            <w:r>
              <w:rPr>
                <w:rFonts w:hint="eastAsia"/>
                <w:sz w:val="22"/>
              </w:rPr>
              <w:t>人民幣元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108" w:type="dxa"/>
          <w:trHeight w:val="340" w:hRule="atLeast"/>
        </w:trPr>
        <w:tc>
          <w:tcPr>
            <w:tcW w:w="4507" w:type="dxa"/>
            <w:vAlign w:val="bottom"/>
          </w:tcPr>
          <w:p>
            <w:pPr>
              <w:rPr>
                <w:b/>
                <w:sz w:val="22"/>
              </w:rPr>
            </w:pPr>
            <w:r>
              <w:rPr>
                <w:rFonts w:hint="eastAsia"/>
                <w:b/>
                <w:sz w:val="22"/>
              </w:rPr>
              <w:t>上年年末金額</w:t>
            </w:r>
          </w:p>
        </w:tc>
        <w:tc>
          <w:tcPr>
            <w:tcW w:w="1996" w:type="dxa"/>
            <w:vAlign w:val="center"/>
          </w:tcPr>
          <w:p>
            <w:pPr>
              <w:jc w:val="right"/>
              <w:rPr>
                <w:sz w:val="22"/>
              </w:rPr>
            </w:pPr>
            <w:r>
              <w:rPr>
                <w:sz w:val="22"/>
              </w:rPr>
              <w:t>657,375,780.62</w:t>
            </w:r>
          </w:p>
        </w:tc>
        <w:tc>
          <w:tcPr>
            <w:tcW w:w="1996" w:type="dxa"/>
            <w:vAlign w:val="center"/>
          </w:tcPr>
          <w:p>
            <w:pPr>
              <w:jc w:val="right"/>
              <w:rPr>
                <w:sz w:val="22"/>
              </w:rPr>
            </w:pPr>
            <w:r>
              <w:rPr>
                <w:sz w:val="22"/>
              </w:rPr>
              <w:t>552,002,849.22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108" w:type="dxa"/>
          <w:trHeight w:val="340" w:hRule="atLeast"/>
        </w:trPr>
        <w:tc>
          <w:tcPr>
            <w:tcW w:w="4507" w:type="dxa"/>
            <w:vAlign w:val="bottom"/>
          </w:tcPr>
          <w:p>
            <w:pPr>
              <w:rPr>
                <w:sz w:val="22"/>
                <w:lang w:eastAsia="zh-TW"/>
              </w:rPr>
            </w:pPr>
            <w:r>
              <w:rPr>
                <w:rFonts w:hint="eastAsia"/>
                <w:sz w:val="22"/>
                <w:lang w:eastAsia="zh-TW"/>
              </w:rPr>
              <w:t>加：年初未分配利潤調整數</w:t>
            </w:r>
          </w:p>
        </w:tc>
        <w:tc>
          <w:tcPr>
            <w:tcW w:w="1996" w:type="dxa"/>
            <w:vAlign w:val="center"/>
          </w:tcPr>
          <w:p>
            <w:pPr>
              <w:jc w:val="right"/>
              <w:rPr>
                <w:sz w:val="22"/>
              </w:rPr>
            </w:pPr>
            <w:r>
              <w:rPr>
                <w:sz w:val="22"/>
              </w:rPr>
              <w:t>-</w:t>
            </w:r>
          </w:p>
        </w:tc>
        <w:tc>
          <w:tcPr>
            <w:tcW w:w="1996" w:type="dxa"/>
            <w:vAlign w:val="center"/>
          </w:tcPr>
          <w:p>
            <w:pPr>
              <w:jc w:val="right"/>
              <w:rPr>
                <w:sz w:val="22"/>
              </w:rPr>
            </w:pPr>
            <w:r>
              <w:rPr>
                <w:sz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108" w:type="dxa"/>
          <w:trHeight w:val="340" w:hRule="atLeast"/>
        </w:trPr>
        <w:tc>
          <w:tcPr>
            <w:tcW w:w="4507" w:type="dxa"/>
            <w:vAlign w:val="bottom"/>
          </w:tcPr>
          <w:p>
            <w:pPr>
              <w:rPr>
                <w:b/>
                <w:sz w:val="22"/>
              </w:rPr>
            </w:pPr>
            <w:r>
              <w:rPr>
                <w:rFonts w:hint="eastAsia"/>
                <w:b/>
                <w:sz w:val="22"/>
              </w:rPr>
              <w:t>本年年初金額</w:t>
            </w:r>
          </w:p>
        </w:tc>
        <w:tc>
          <w:tcPr>
            <w:tcW w:w="1996" w:type="dxa"/>
            <w:vAlign w:val="center"/>
          </w:tcPr>
          <w:p>
            <w:pPr>
              <w:jc w:val="right"/>
              <w:rPr>
                <w:sz w:val="22"/>
              </w:rPr>
            </w:pPr>
            <w:r>
              <w:rPr>
                <w:sz w:val="22"/>
              </w:rPr>
              <w:t>657,375,780.62</w:t>
            </w:r>
          </w:p>
        </w:tc>
        <w:tc>
          <w:tcPr>
            <w:tcW w:w="1996" w:type="dxa"/>
            <w:vAlign w:val="center"/>
          </w:tcPr>
          <w:p>
            <w:pPr>
              <w:jc w:val="right"/>
              <w:rPr>
                <w:sz w:val="22"/>
              </w:rPr>
            </w:pPr>
            <w:r>
              <w:rPr>
                <w:sz w:val="22"/>
              </w:rPr>
              <w:t>552,002,849.22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108" w:type="dxa"/>
          <w:trHeight w:val="340" w:hRule="atLeast"/>
        </w:trPr>
        <w:tc>
          <w:tcPr>
            <w:tcW w:w="4507" w:type="dxa"/>
            <w:vAlign w:val="bottom"/>
          </w:tcPr>
          <w:p>
            <w:pPr>
              <w:rPr>
                <w:sz w:val="22"/>
                <w:lang w:eastAsia="zh-TW"/>
              </w:rPr>
            </w:pPr>
            <w:r>
              <w:rPr>
                <w:rFonts w:hint="eastAsia"/>
                <w:sz w:val="22"/>
                <w:lang w:eastAsia="zh-TW"/>
              </w:rPr>
              <w:t>加：本期歸屬於</w:t>
            </w:r>
            <w:r>
              <w:rPr>
                <w:rFonts w:hint="eastAsia"/>
                <w:sz w:val="22"/>
                <w:szCs w:val="22"/>
                <w:lang w:eastAsia="zh-TW"/>
              </w:rPr>
              <w:t>母公司</w:t>
            </w:r>
            <w:r>
              <w:rPr>
                <w:rFonts w:hint="eastAsia"/>
                <w:sz w:val="22"/>
                <w:lang w:eastAsia="zh-TW"/>
              </w:rPr>
              <w:t>股東的淨利潤</w:t>
            </w:r>
          </w:p>
        </w:tc>
        <w:tc>
          <w:tcPr>
            <w:tcW w:w="1996" w:type="dxa"/>
            <w:vAlign w:val="center"/>
          </w:tcPr>
          <w:p>
            <w:pPr>
              <w:jc w:val="right"/>
              <w:rPr>
                <w:sz w:val="22"/>
              </w:rPr>
            </w:pPr>
            <w:r>
              <w:rPr>
                <w:sz w:val="22"/>
              </w:rPr>
              <w:t>209,591,907.23</w:t>
            </w:r>
          </w:p>
        </w:tc>
        <w:tc>
          <w:tcPr>
            <w:tcW w:w="1996" w:type="dxa"/>
            <w:vAlign w:val="center"/>
          </w:tcPr>
          <w:p>
            <w:pPr>
              <w:jc w:val="right"/>
              <w:rPr>
                <w:sz w:val="22"/>
              </w:rPr>
            </w:pPr>
            <w:r>
              <w:rPr>
                <w:sz w:val="22"/>
              </w:rPr>
              <w:t>122,271,549.68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108" w:type="dxa"/>
          <w:trHeight w:val="340" w:hRule="atLeast"/>
        </w:trPr>
        <w:tc>
          <w:tcPr>
            <w:tcW w:w="4507" w:type="dxa"/>
            <w:vAlign w:val="bottom"/>
          </w:tcPr>
          <w:p>
            <w:pPr>
              <w:rPr>
                <w:sz w:val="22"/>
                <w:lang w:eastAsia="zh-TW"/>
              </w:rPr>
            </w:pPr>
            <w:r>
              <w:rPr>
                <w:rFonts w:hint="eastAsia"/>
                <w:sz w:val="22"/>
                <w:lang w:eastAsia="zh-TW"/>
              </w:rPr>
              <w:t>減：提取法定盈餘公積</w:t>
            </w:r>
          </w:p>
        </w:tc>
        <w:tc>
          <w:tcPr>
            <w:tcW w:w="1996" w:type="dxa"/>
            <w:vAlign w:val="center"/>
          </w:tcPr>
          <w:p>
            <w:pPr>
              <w:jc w:val="right"/>
              <w:rPr>
                <w:sz w:val="22"/>
              </w:rPr>
            </w:pPr>
            <w:r>
              <w:rPr>
                <w:sz w:val="22"/>
              </w:rPr>
              <w:t>14,291,689.71</w:t>
            </w:r>
          </w:p>
        </w:tc>
        <w:tc>
          <w:tcPr>
            <w:tcW w:w="1996" w:type="dxa"/>
            <w:vAlign w:val="center"/>
          </w:tcPr>
          <w:p>
            <w:pPr>
              <w:jc w:val="right"/>
              <w:rPr>
                <w:sz w:val="22"/>
              </w:rPr>
            </w:pPr>
            <w:r>
              <w:rPr>
                <w:sz w:val="22"/>
              </w:rPr>
              <w:t>7,752,361.68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108" w:type="dxa"/>
          <w:trHeight w:val="340" w:hRule="atLeast"/>
        </w:trPr>
        <w:tc>
          <w:tcPr>
            <w:tcW w:w="4507" w:type="dxa"/>
            <w:vAlign w:val="bottom"/>
          </w:tcPr>
          <w:p>
            <w:pPr>
              <w:ind w:firstLine="440" w:firstLineChars="200"/>
              <w:rPr>
                <w:sz w:val="22"/>
              </w:rPr>
            </w:pPr>
            <w:r>
              <w:rPr>
                <w:rFonts w:hint="eastAsia"/>
                <w:sz w:val="22"/>
              </w:rPr>
              <w:t>提取任意盈餘公積</w:t>
            </w:r>
          </w:p>
        </w:tc>
        <w:tc>
          <w:tcPr>
            <w:tcW w:w="1996" w:type="dxa"/>
            <w:vAlign w:val="center"/>
          </w:tcPr>
          <w:p>
            <w:pPr>
              <w:jc w:val="right"/>
              <w:rPr>
                <w:sz w:val="22"/>
              </w:rPr>
            </w:pPr>
            <w:r>
              <w:rPr>
                <w:sz w:val="22"/>
              </w:rPr>
              <w:t>-</w:t>
            </w:r>
          </w:p>
        </w:tc>
        <w:tc>
          <w:tcPr>
            <w:tcW w:w="1996" w:type="dxa"/>
            <w:vAlign w:val="center"/>
          </w:tcPr>
          <w:p>
            <w:pPr>
              <w:jc w:val="right"/>
              <w:rPr>
                <w:sz w:val="22"/>
              </w:rPr>
            </w:pPr>
            <w:r>
              <w:rPr>
                <w:sz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108" w:type="dxa"/>
          <w:trHeight w:val="340" w:hRule="atLeast"/>
        </w:trPr>
        <w:tc>
          <w:tcPr>
            <w:tcW w:w="4507" w:type="dxa"/>
            <w:vAlign w:val="bottom"/>
          </w:tcPr>
          <w:p>
            <w:pPr>
              <w:ind w:firstLine="440" w:firstLineChars="200"/>
              <w:rPr>
                <w:sz w:val="22"/>
              </w:rPr>
            </w:pPr>
            <w:r>
              <w:rPr>
                <w:rFonts w:hint="eastAsia"/>
                <w:sz w:val="22"/>
              </w:rPr>
              <w:t>提取一般風險準備</w:t>
            </w:r>
          </w:p>
        </w:tc>
        <w:tc>
          <w:tcPr>
            <w:tcW w:w="1996" w:type="dxa"/>
            <w:vAlign w:val="center"/>
          </w:tcPr>
          <w:p>
            <w:pPr>
              <w:jc w:val="right"/>
              <w:rPr>
                <w:sz w:val="22"/>
              </w:rPr>
            </w:pPr>
            <w:r>
              <w:rPr>
                <w:sz w:val="22"/>
              </w:rPr>
              <w:t>-</w:t>
            </w:r>
          </w:p>
        </w:tc>
        <w:tc>
          <w:tcPr>
            <w:tcW w:w="1996" w:type="dxa"/>
            <w:vAlign w:val="center"/>
          </w:tcPr>
          <w:p>
            <w:pPr>
              <w:jc w:val="right"/>
              <w:rPr>
                <w:sz w:val="22"/>
              </w:rPr>
            </w:pPr>
            <w:r>
              <w:rPr>
                <w:sz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108" w:type="dxa"/>
          <w:trHeight w:val="340" w:hRule="atLeast"/>
        </w:trPr>
        <w:tc>
          <w:tcPr>
            <w:tcW w:w="4507" w:type="dxa"/>
            <w:vAlign w:val="bottom"/>
          </w:tcPr>
          <w:p>
            <w:pPr>
              <w:ind w:firstLine="440"/>
              <w:rPr>
                <w:sz w:val="22"/>
              </w:rPr>
            </w:pPr>
            <w:r>
              <w:rPr>
                <w:rFonts w:hint="eastAsia"/>
                <w:sz w:val="22"/>
              </w:rPr>
              <w:t>應付普通股股利</w:t>
            </w:r>
          </w:p>
        </w:tc>
        <w:tc>
          <w:tcPr>
            <w:tcW w:w="1996" w:type="dxa"/>
            <w:vAlign w:val="center"/>
          </w:tcPr>
          <w:p>
            <w:pPr>
              <w:jc w:val="right"/>
              <w:rPr>
                <w:sz w:val="22"/>
              </w:rPr>
            </w:pPr>
            <w:r>
              <w:rPr>
                <w:sz w:val="22"/>
              </w:rPr>
              <w:t>14,350,602.63</w:t>
            </w:r>
          </w:p>
        </w:tc>
        <w:tc>
          <w:tcPr>
            <w:tcW w:w="1996" w:type="dxa"/>
            <w:vAlign w:val="center"/>
          </w:tcPr>
          <w:p>
            <w:pPr>
              <w:jc w:val="right"/>
              <w:rPr>
                <w:sz w:val="22"/>
              </w:rPr>
            </w:pPr>
            <w:r>
              <w:rPr>
                <w:sz w:val="22"/>
              </w:rPr>
              <w:t>9,146,256.60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108" w:type="dxa"/>
          <w:trHeight w:val="340" w:hRule="atLeast"/>
        </w:trPr>
        <w:tc>
          <w:tcPr>
            <w:tcW w:w="4507" w:type="dxa"/>
            <w:vAlign w:val="bottom"/>
          </w:tcPr>
          <w:p>
            <w:pPr>
              <w:ind w:firstLine="440"/>
              <w:rPr>
                <w:sz w:val="22"/>
                <w:lang w:eastAsia="zh-TW"/>
              </w:rPr>
            </w:pPr>
            <w:r>
              <w:rPr>
                <w:rFonts w:hint="eastAsia"/>
                <w:sz w:val="22"/>
                <w:lang w:eastAsia="zh-TW"/>
              </w:rPr>
              <w:t>轉作股本的普通股股利</w:t>
            </w:r>
          </w:p>
        </w:tc>
        <w:tc>
          <w:tcPr>
            <w:tcW w:w="1996" w:type="dxa"/>
            <w:vAlign w:val="center"/>
          </w:tcPr>
          <w:p>
            <w:pPr>
              <w:jc w:val="right"/>
              <w:rPr>
                <w:sz w:val="22"/>
              </w:rPr>
            </w:pPr>
            <w:r>
              <w:rPr>
                <w:sz w:val="22"/>
              </w:rPr>
              <w:t>-</w:t>
            </w:r>
          </w:p>
        </w:tc>
        <w:tc>
          <w:tcPr>
            <w:tcW w:w="1996" w:type="dxa"/>
            <w:tcBorders>
              <w:bottom w:val="nil"/>
            </w:tcBorders>
            <w:vAlign w:val="center"/>
          </w:tcPr>
          <w:p>
            <w:pPr>
              <w:jc w:val="right"/>
              <w:rPr>
                <w:sz w:val="22"/>
              </w:rPr>
            </w:pPr>
            <w:r>
              <w:rPr>
                <w:sz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108" w:type="dxa"/>
          <w:trHeight w:val="397" w:hRule="atLeast"/>
        </w:trPr>
        <w:tc>
          <w:tcPr>
            <w:tcW w:w="4507" w:type="dxa"/>
            <w:vAlign w:val="bottom"/>
          </w:tcPr>
          <w:p>
            <w:pPr>
              <w:rPr>
                <w:b/>
                <w:sz w:val="22"/>
              </w:rPr>
            </w:pPr>
            <w:r>
              <w:rPr>
                <w:rFonts w:hint="eastAsia"/>
                <w:b/>
                <w:sz w:val="22"/>
              </w:rPr>
              <w:t>合計</w:t>
            </w:r>
          </w:p>
        </w:tc>
        <w:tc>
          <w:tcPr>
            <w:tcW w:w="1996" w:type="dxa"/>
            <w:tcBorders>
              <w:bottom w:val="double" w:color="auto" w:sz="4" w:space="0"/>
              <w:right w:val="nil"/>
            </w:tcBorders>
            <w:vAlign w:val="center"/>
          </w:tcPr>
          <w:p>
            <w:pPr>
              <w:pStyle w:val="29"/>
              <w:spacing w:line="240" w:lineRule="exact"/>
              <w:jc w:val="right"/>
              <w:rPr>
                <w:rFonts w:ascii="Times New Roman" w:hAnsi="Times New Roman"/>
                <w:b/>
                <w:sz w:val="22"/>
              </w:rPr>
            </w:pPr>
            <w:r>
              <w:rPr>
                <w:rFonts w:ascii="Times New Roman" w:hAnsi="Times New Roman"/>
                <w:b/>
                <w:sz w:val="22"/>
              </w:rPr>
              <w:t>838,325,395.51</w:t>
            </w:r>
          </w:p>
        </w:tc>
        <w:tc>
          <w:tcPr>
            <w:tcW w:w="1996" w:type="dxa"/>
            <w:tcBorders>
              <w:top w:val="nil"/>
              <w:left w:val="nil"/>
              <w:bottom w:val="double" w:color="auto" w:sz="4" w:space="0"/>
              <w:right w:val="nil"/>
            </w:tcBorders>
            <w:vAlign w:val="bottom"/>
          </w:tcPr>
          <w:p>
            <w:pPr>
              <w:pStyle w:val="29"/>
              <w:pBdr>
                <w:bottom w:val="double" w:color="auto" w:sz="4" w:space="1"/>
              </w:pBdr>
              <w:spacing w:line="240" w:lineRule="exact"/>
              <w:jc w:val="right"/>
              <w:rPr>
                <w:rFonts w:ascii="Times New Roman" w:hAnsi="Times New Roman"/>
                <w:sz w:val="22"/>
              </w:rPr>
            </w:pPr>
            <w:r>
              <w:rPr>
                <w:rFonts w:ascii="Times New Roman" w:hAnsi="Times New Roman"/>
                <w:b/>
                <w:sz w:val="22"/>
              </w:rPr>
              <w:t>657,375,780.62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108" w:type="dxa"/>
        </w:trPr>
        <w:tc>
          <w:tcPr>
            <w:tcW w:w="4507" w:type="dxa"/>
            <w:vAlign w:val="center"/>
          </w:tcPr>
          <w:p/>
        </w:tc>
        <w:tc>
          <w:tcPr>
            <w:tcW w:w="1996" w:type="dxa"/>
            <w:tcBorders>
              <w:top w:val="double" w:color="auto" w:sz="4" w:space="0"/>
            </w:tcBorders>
            <w:vAlign w:val="bottom"/>
          </w:tcPr>
          <w:p>
            <w:pPr>
              <w:jc w:val="right"/>
              <w:rPr>
                <w:sz w:val="22"/>
              </w:rPr>
            </w:pPr>
          </w:p>
        </w:tc>
        <w:tc>
          <w:tcPr>
            <w:tcW w:w="1996" w:type="dxa"/>
            <w:tcBorders>
              <w:top w:val="double" w:color="auto" w:sz="4" w:space="0"/>
            </w:tcBorders>
            <w:vAlign w:val="center"/>
          </w:tcPr>
          <w:p>
            <w:pPr>
              <w:wordWrap w:val="0"/>
              <w:jc w:val="right"/>
              <w:rPr>
                <w:sz w:val="22"/>
                <w:u w:val="double"/>
              </w:rPr>
            </w:pPr>
          </w:p>
        </w:tc>
      </w:tr>
    </w:tbl>
    <w:p>
      <w:pPr>
        <w:spacing w:line="320" w:lineRule="exact"/>
        <w:rPr>
          <w:sz w:val="22"/>
        </w:rPr>
      </w:pPr>
    </w:p>
    <w:p>
      <w:pPr>
        <w:spacing w:line="320" w:lineRule="exact"/>
        <w:rPr>
          <w:sz w:val="22"/>
        </w:rPr>
      </w:pPr>
    </w:p>
    <w:p>
      <w:pPr>
        <w:spacing w:line="320" w:lineRule="exact"/>
        <w:rPr>
          <w:sz w:val="22"/>
        </w:rPr>
      </w:pPr>
    </w:p>
    <w:p>
      <w:pPr>
        <w:numPr>
          <w:ilvl w:val="0"/>
          <w:numId w:val="4"/>
        </w:numPr>
        <w:spacing w:line="320" w:lineRule="exact"/>
        <w:rPr>
          <w:b/>
          <w:sz w:val="22"/>
        </w:rPr>
      </w:pPr>
      <w:r>
        <w:rPr>
          <w:rFonts w:hint="eastAsia"/>
          <w:b/>
          <w:sz w:val="22"/>
        </w:rPr>
        <w:t>營業收入和營業成本</w:t>
      </w:r>
    </w:p>
    <w:tbl>
      <w:tblPr>
        <w:tblW w:w="8536" w:type="dxa"/>
        <w:tblInd w:w="5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520"/>
        <w:gridCol w:w="2008"/>
        <w:gridCol w:w="2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20" w:type="dxa"/>
            <w:vAlign w:val="top"/>
          </w:tcPr>
          <w:p>
            <w:pPr>
              <w:spacing w:line="240" w:lineRule="exact"/>
              <w:jc w:val="center"/>
              <w:rPr>
                <w:sz w:val="22"/>
              </w:rPr>
            </w:pPr>
          </w:p>
        </w:tc>
        <w:tc>
          <w:tcPr>
            <w:tcW w:w="2008" w:type="dxa"/>
            <w:vAlign w:val="top"/>
          </w:tcPr>
          <w:p>
            <w:pPr>
              <w:pBdr>
                <w:bottom w:val="single" w:color="auto" w:sz="4" w:space="0"/>
              </w:pBdr>
              <w:spacing w:line="240" w:lineRule="exact"/>
              <w:jc w:val="center"/>
              <w:rPr>
                <w:sz w:val="22"/>
              </w:rPr>
            </w:pPr>
            <w:r>
              <w:rPr>
                <w:rFonts w:hint="eastAsia"/>
                <w:sz w:val="22"/>
              </w:rPr>
              <w:t>二零一七年</w:t>
            </w:r>
          </w:p>
        </w:tc>
        <w:tc>
          <w:tcPr>
            <w:tcW w:w="2008" w:type="dxa"/>
            <w:vAlign w:val="top"/>
          </w:tcPr>
          <w:p>
            <w:pPr>
              <w:pBdr>
                <w:bottom w:val="single" w:color="auto" w:sz="4" w:space="0"/>
              </w:pBdr>
              <w:spacing w:line="240" w:lineRule="exact"/>
              <w:ind w:right="110"/>
              <w:jc w:val="center"/>
              <w:rPr>
                <w:sz w:val="22"/>
                <w:u w:val="single"/>
              </w:rPr>
            </w:pPr>
            <w:r>
              <w:rPr>
                <w:rFonts w:hint="eastAsia"/>
                <w:sz w:val="22"/>
              </w:rPr>
              <w:t>二零一六年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20" w:type="dxa"/>
            <w:vAlign w:val="top"/>
          </w:tcPr>
          <w:p>
            <w:pPr>
              <w:spacing w:line="240" w:lineRule="exact"/>
              <w:jc w:val="center"/>
              <w:rPr>
                <w:sz w:val="22"/>
              </w:rPr>
            </w:pPr>
          </w:p>
        </w:tc>
        <w:tc>
          <w:tcPr>
            <w:tcW w:w="2008" w:type="dxa"/>
            <w:vAlign w:val="top"/>
          </w:tcPr>
          <w:p>
            <w:pPr>
              <w:spacing w:line="240" w:lineRule="exact"/>
              <w:jc w:val="center"/>
              <w:rPr>
                <w:sz w:val="22"/>
              </w:rPr>
            </w:pPr>
            <w:r>
              <w:rPr>
                <w:rFonts w:hint="eastAsia"/>
                <w:sz w:val="22"/>
              </w:rPr>
              <w:t>人民幣元</w:t>
            </w:r>
          </w:p>
        </w:tc>
        <w:tc>
          <w:tcPr>
            <w:tcW w:w="2008" w:type="dxa"/>
            <w:vAlign w:val="top"/>
          </w:tcPr>
          <w:p>
            <w:pPr>
              <w:spacing w:line="240" w:lineRule="exact"/>
              <w:jc w:val="center"/>
              <w:rPr>
                <w:sz w:val="22"/>
              </w:rPr>
            </w:pPr>
            <w:r>
              <w:rPr>
                <w:rFonts w:hint="eastAsia"/>
                <w:sz w:val="22"/>
              </w:rPr>
              <w:t>人民幣元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20" w:type="dxa"/>
            <w:vAlign w:val="bottom"/>
          </w:tcPr>
          <w:p>
            <w:pPr>
              <w:rPr>
                <w:sz w:val="22"/>
              </w:rPr>
            </w:pPr>
            <w:r>
              <w:rPr>
                <w:rFonts w:hint="eastAsia"/>
                <w:sz w:val="22"/>
              </w:rPr>
              <w:t>主營業務收入</w:t>
            </w:r>
          </w:p>
        </w:tc>
        <w:tc>
          <w:tcPr>
            <w:tcW w:w="2008" w:type="dxa"/>
            <w:vAlign w:val="bottom"/>
          </w:tcPr>
          <w:p>
            <w:pPr>
              <w:spacing w:line="360" w:lineRule="exact"/>
              <w:jc w:val="right"/>
              <w:rPr>
                <w:sz w:val="22"/>
              </w:rPr>
            </w:pPr>
            <w:r>
              <w:rPr>
                <w:sz w:val="22"/>
              </w:rPr>
              <w:t xml:space="preserve">4,462,383,633.71 </w:t>
            </w:r>
          </w:p>
        </w:tc>
        <w:tc>
          <w:tcPr>
            <w:tcW w:w="2008" w:type="dxa"/>
            <w:vAlign w:val="center"/>
          </w:tcPr>
          <w:p>
            <w:pPr>
              <w:spacing w:line="360" w:lineRule="exact"/>
              <w:jc w:val="right"/>
              <w:rPr>
                <w:sz w:val="22"/>
              </w:rPr>
            </w:pPr>
            <w:r>
              <w:rPr>
                <w:sz w:val="22"/>
              </w:rPr>
              <w:t>3,977,831,210.76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520" w:type="dxa"/>
            <w:vAlign w:val="bottom"/>
          </w:tcPr>
          <w:p>
            <w:pPr>
              <w:rPr>
                <w:sz w:val="22"/>
              </w:rPr>
            </w:pPr>
            <w:r>
              <w:rPr>
                <w:rFonts w:hint="eastAsia"/>
                <w:sz w:val="22"/>
              </w:rPr>
              <w:t>其他業務收入</w:t>
            </w:r>
          </w:p>
        </w:tc>
        <w:tc>
          <w:tcPr>
            <w:tcW w:w="2008" w:type="dxa"/>
            <w:vAlign w:val="bottom"/>
          </w:tcPr>
          <w:p>
            <w:pPr>
              <w:spacing w:line="360" w:lineRule="exact"/>
              <w:jc w:val="right"/>
              <w:rPr>
                <w:sz w:val="22"/>
                <w:u w:val="single"/>
              </w:rPr>
            </w:pPr>
            <w:r>
              <w:rPr>
                <w:sz w:val="22"/>
                <w:u w:val="single"/>
              </w:rPr>
              <w:t xml:space="preserve">53,333,150.48 </w:t>
            </w:r>
          </w:p>
        </w:tc>
        <w:tc>
          <w:tcPr>
            <w:tcW w:w="2008" w:type="dxa"/>
            <w:vAlign w:val="center"/>
          </w:tcPr>
          <w:p>
            <w:pPr>
              <w:spacing w:line="360" w:lineRule="exact"/>
              <w:jc w:val="right"/>
              <w:rPr>
                <w:sz w:val="22"/>
                <w:u w:val="single"/>
              </w:rPr>
            </w:pPr>
            <w:r>
              <w:rPr>
                <w:sz w:val="22"/>
                <w:u w:val="single"/>
              </w:rPr>
              <w:t>37,131,854.98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20" w:type="dxa"/>
            <w:vAlign w:val="bottom"/>
          </w:tcPr>
          <w:p>
            <w:pPr>
              <w:rPr>
                <w:b/>
                <w:sz w:val="22"/>
              </w:rPr>
            </w:pPr>
            <w:r>
              <w:rPr>
                <w:rFonts w:hint="eastAsia"/>
                <w:b/>
                <w:sz w:val="22"/>
              </w:rPr>
              <w:t>合計</w:t>
            </w:r>
          </w:p>
        </w:tc>
        <w:tc>
          <w:tcPr>
            <w:tcW w:w="2008" w:type="dxa"/>
            <w:tcBorders>
              <w:bottom w:val="double" w:color="auto" w:sz="4" w:space="0"/>
            </w:tcBorders>
            <w:vAlign w:val="center"/>
          </w:tcPr>
          <w:p>
            <w:pPr>
              <w:jc w:val="right"/>
              <w:rPr>
                <w:b/>
                <w:sz w:val="22"/>
              </w:rPr>
            </w:pPr>
            <w:r>
              <w:rPr>
                <w:b/>
                <w:sz w:val="22"/>
              </w:rPr>
              <w:t>4,515,716,784.19</w:t>
            </w:r>
          </w:p>
        </w:tc>
        <w:tc>
          <w:tcPr>
            <w:tcW w:w="2008" w:type="dxa"/>
            <w:vAlign w:val="bottom"/>
          </w:tcPr>
          <w:p>
            <w:pPr>
              <w:pBdr>
                <w:bottom w:val="double" w:color="auto" w:sz="4" w:space="1"/>
              </w:pBdr>
              <w:jc w:val="right"/>
              <w:rPr>
                <w:b/>
                <w:sz w:val="22"/>
              </w:rPr>
            </w:pPr>
            <w:r>
              <w:rPr>
                <w:b/>
                <w:sz w:val="22"/>
              </w:rPr>
              <w:t>4,014,963,065.74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520" w:type="dxa"/>
            <w:vAlign w:val="center"/>
          </w:tcPr>
          <w:p>
            <w:pPr>
              <w:rPr>
                <w:sz w:val="22"/>
              </w:rPr>
            </w:pPr>
          </w:p>
        </w:tc>
        <w:tc>
          <w:tcPr>
            <w:tcW w:w="2008" w:type="dxa"/>
            <w:tcBorders>
              <w:top w:val="double" w:color="auto" w:sz="4" w:space="0"/>
            </w:tcBorders>
            <w:vAlign w:val="center"/>
          </w:tcPr>
          <w:p>
            <w:pPr>
              <w:spacing w:line="360" w:lineRule="exact"/>
              <w:jc w:val="right"/>
              <w:rPr>
                <w:sz w:val="22"/>
              </w:rPr>
            </w:pPr>
          </w:p>
        </w:tc>
        <w:tc>
          <w:tcPr>
            <w:tcW w:w="2008" w:type="dxa"/>
            <w:vAlign w:val="center"/>
          </w:tcPr>
          <w:p>
            <w:pPr>
              <w:jc w:val="right"/>
              <w:rPr>
                <w:b/>
                <w:sz w:val="22"/>
                <w:u w:val="double"/>
              </w:rPr>
            </w:pPr>
          </w:p>
        </w:tc>
      </w:tr>
    </w:tbl>
    <w:p>
      <w:pPr>
        <w:spacing w:line="320" w:lineRule="exact"/>
        <w:rPr>
          <w:sz w:val="22"/>
        </w:rPr>
      </w:pPr>
    </w:p>
    <w:tbl>
      <w:tblPr>
        <w:tblW w:w="8536" w:type="dxa"/>
        <w:tblInd w:w="5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520"/>
        <w:gridCol w:w="2008"/>
        <w:gridCol w:w="2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20" w:type="dxa"/>
            <w:vAlign w:val="top"/>
          </w:tcPr>
          <w:p>
            <w:pPr>
              <w:spacing w:line="240" w:lineRule="exact"/>
              <w:jc w:val="center"/>
              <w:rPr>
                <w:sz w:val="22"/>
              </w:rPr>
            </w:pPr>
          </w:p>
        </w:tc>
        <w:tc>
          <w:tcPr>
            <w:tcW w:w="2008" w:type="dxa"/>
            <w:vAlign w:val="top"/>
          </w:tcPr>
          <w:p>
            <w:pPr>
              <w:pBdr>
                <w:bottom w:val="single" w:color="auto" w:sz="4" w:space="0"/>
              </w:pBdr>
              <w:spacing w:line="240" w:lineRule="exact"/>
              <w:jc w:val="center"/>
              <w:rPr>
                <w:sz w:val="22"/>
              </w:rPr>
            </w:pPr>
            <w:r>
              <w:rPr>
                <w:rFonts w:hint="eastAsia"/>
                <w:sz w:val="22"/>
              </w:rPr>
              <w:t>二零一七年</w:t>
            </w:r>
          </w:p>
        </w:tc>
        <w:tc>
          <w:tcPr>
            <w:tcW w:w="2008" w:type="dxa"/>
            <w:vAlign w:val="top"/>
          </w:tcPr>
          <w:p>
            <w:pPr>
              <w:pBdr>
                <w:bottom w:val="single" w:color="auto" w:sz="4" w:space="0"/>
              </w:pBdr>
              <w:spacing w:line="240" w:lineRule="exact"/>
              <w:ind w:right="110"/>
              <w:jc w:val="center"/>
              <w:rPr>
                <w:sz w:val="22"/>
                <w:u w:val="single"/>
              </w:rPr>
            </w:pPr>
            <w:r>
              <w:rPr>
                <w:rFonts w:hint="eastAsia"/>
                <w:sz w:val="22"/>
              </w:rPr>
              <w:t>二零一六年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20" w:type="dxa"/>
            <w:vAlign w:val="top"/>
          </w:tcPr>
          <w:p>
            <w:pPr>
              <w:spacing w:line="240" w:lineRule="exact"/>
              <w:jc w:val="center"/>
              <w:rPr>
                <w:sz w:val="22"/>
              </w:rPr>
            </w:pPr>
          </w:p>
        </w:tc>
        <w:tc>
          <w:tcPr>
            <w:tcW w:w="2008" w:type="dxa"/>
            <w:vAlign w:val="top"/>
          </w:tcPr>
          <w:p>
            <w:pPr>
              <w:spacing w:line="240" w:lineRule="exact"/>
              <w:jc w:val="center"/>
              <w:rPr>
                <w:sz w:val="22"/>
              </w:rPr>
            </w:pPr>
            <w:r>
              <w:rPr>
                <w:rFonts w:hint="eastAsia"/>
                <w:sz w:val="22"/>
              </w:rPr>
              <w:t>人民幣元</w:t>
            </w:r>
          </w:p>
        </w:tc>
        <w:tc>
          <w:tcPr>
            <w:tcW w:w="2008" w:type="dxa"/>
            <w:vAlign w:val="top"/>
          </w:tcPr>
          <w:p>
            <w:pPr>
              <w:spacing w:line="240" w:lineRule="exact"/>
              <w:jc w:val="center"/>
              <w:rPr>
                <w:sz w:val="22"/>
              </w:rPr>
            </w:pPr>
            <w:r>
              <w:rPr>
                <w:rFonts w:hint="eastAsia"/>
                <w:sz w:val="22"/>
              </w:rPr>
              <w:t>人民幣元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20" w:type="dxa"/>
            <w:vAlign w:val="bottom"/>
          </w:tcPr>
          <w:p>
            <w:pPr>
              <w:rPr>
                <w:sz w:val="22"/>
              </w:rPr>
            </w:pPr>
            <w:r>
              <w:rPr>
                <w:rFonts w:hint="eastAsia"/>
                <w:sz w:val="22"/>
              </w:rPr>
              <w:t>主營業務成本</w:t>
            </w:r>
          </w:p>
        </w:tc>
        <w:tc>
          <w:tcPr>
            <w:tcW w:w="2008" w:type="dxa"/>
            <w:vAlign w:val="center"/>
          </w:tcPr>
          <w:p>
            <w:pPr>
              <w:spacing w:line="360" w:lineRule="exact"/>
              <w:jc w:val="right"/>
              <w:rPr>
                <w:sz w:val="22"/>
              </w:rPr>
            </w:pPr>
            <w:r>
              <w:rPr>
                <w:sz w:val="22"/>
              </w:rPr>
              <w:t>3,172,291,355.66</w:t>
            </w:r>
          </w:p>
        </w:tc>
        <w:tc>
          <w:tcPr>
            <w:tcW w:w="2008" w:type="dxa"/>
            <w:vAlign w:val="center"/>
          </w:tcPr>
          <w:p>
            <w:pPr>
              <w:spacing w:line="360" w:lineRule="exact"/>
              <w:jc w:val="right"/>
              <w:rPr>
                <w:sz w:val="22"/>
              </w:rPr>
            </w:pPr>
            <w:r>
              <w:rPr>
                <w:sz w:val="22"/>
              </w:rPr>
              <w:t>2,957,890,806.22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520" w:type="dxa"/>
            <w:vAlign w:val="bottom"/>
          </w:tcPr>
          <w:p>
            <w:pPr>
              <w:rPr>
                <w:sz w:val="22"/>
              </w:rPr>
            </w:pPr>
            <w:r>
              <w:rPr>
                <w:rFonts w:hint="eastAsia"/>
                <w:sz w:val="22"/>
              </w:rPr>
              <w:t>其他業務成本</w:t>
            </w:r>
          </w:p>
        </w:tc>
        <w:tc>
          <w:tcPr>
            <w:tcW w:w="2008" w:type="dxa"/>
            <w:vAlign w:val="center"/>
          </w:tcPr>
          <w:p>
            <w:pPr>
              <w:spacing w:line="360" w:lineRule="exact"/>
              <w:jc w:val="right"/>
              <w:rPr>
                <w:sz w:val="22"/>
                <w:u w:val="single"/>
              </w:rPr>
            </w:pPr>
            <w:r>
              <w:rPr>
                <w:sz w:val="22"/>
                <w:u w:val="single"/>
              </w:rPr>
              <w:t xml:space="preserve">75,324,483.20 </w:t>
            </w:r>
          </w:p>
        </w:tc>
        <w:tc>
          <w:tcPr>
            <w:tcW w:w="2008" w:type="dxa"/>
            <w:vAlign w:val="center"/>
          </w:tcPr>
          <w:p>
            <w:pPr>
              <w:spacing w:line="360" w:lineRule="exact"/>
              <w:jc w:val="right"/>
              <w:rPr>
                <w:sz w:val="22"/>
                <w:u w:val="single"/>
              </w:rPr>
            </w:pPr>
            <w:r>
              <w:rPr>
                <w:sz w:val="22"/>
                <w:u w:val="single"/>
              </w:rPr>
              <w:t>55,693,818.17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20" w:type="dxa"/>
            <w:vAlign w:val="bottom"/>
          </w:tcPr>
          <w:p>
            <w:pPr>
              <w:rPr>
                <w:b/>
                <w:sz w:val="22"/>
              </w:rPr>
            </w:pPr>
            <w:r>
              <w:rPr>
                <w:rFonts w:hint="eastAsia"/>
                <w:b/>
                <w:sz w:val="22"/>
              </w:rPr>
              <w:t>合計</w:t>
            </w:r>
          </w:p>
        </w:tc>
        <w:tc>
          <w:tcPr>
            <w:tcW w:w="2008" w:type="dxa"/>
            <w:tcBorders>
              <w:bottom w:val="double" w:color="auto" w:sz="4" w:space="0"/>
            </w:tcBorders>
            <w:vAlign w:val="center"/>
          </w:tcPr>
          <w:p>
            <w:pPr>
              <w:jc w:val="right"/>
              <w:rPr>
                <w:b/>
                <w:sz w:val="22"/>
              </w:rPr>
            </w:pPr>
            <w:r>
              <w:rPr>
                <w:b/>
                <w:sz w:val="22"/>
              </w:rPr>
              <w:t>3,247,615,838.86</w:t>
            </w:r>
          </w:p>
        </w:tc>
        <w:tc>
          <w:tcPr>
            <w:tcW w:w="2008" w:type="dxa"/>
            <w:vAlign w:val="bottom"/>
          </w:tcPr>
          <w:p>
            <w:pPr>
              <w:pBdr>
                <w:bottom w:val="double" w:color="auto" w:sz="4" w:space="1"/>
              </w:pBdr>
              <w:jc w:val="right"/>
              <w:rPr>
                <w:b/>
                <w:sz w:val="22"/>
              </w:rPr>
            </w:pPr>
            <w:r>
              <w:rPr>
                <w:b/>
                <w:sz w:val="22"/>
              </w:rPr>
              <w:t>3,013,584,624.39</w:t>
            </w:r>
          </w:p>
        </w:tc>
      </w:tr>
    </w:tbl>
    <w:p>
      <w:pPr>
        <w:spacing w:line="320" w:lineRule="exact"/>
        <w:rPr>
          <w:b/>
          <w:sz w:val="22"/>
        </w:rPr>
      </w:pPr>
    </w:p>
    <w:p>
      <w:pPr>
        <w:numPr>
          <w:ilvl w:val="0"/>
          <w:numId w:val="4"/>
        </w:numPr>
        <w:spacing w:line="320" w:lineRule="exact"/>
        <w:rPr>
          <w:b/>
          <w:sz w:val="22"/>
        </w:rPr>
      </w:pPr>
      <w:r>
        <w:rPr>
          <w:rFonts w:hint="eastAsia"/>
          <w:b/>
          <w:sz w:val="22"/>
        </w:rPr>
        <w:t>稅金附加</w:t>
      </w:r>
    </w:p>
    <w:tbl>
      <w:tblPr>
        <w:tblW w:w="8536" w:type="dxa"/>
        <w:tblInd w:w="5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520"/>
        <w:gridCol w:w="2008"/>
        <w:gridCol w:w="2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20" w:type="dxa"/>
            <w:vAlign w:val="top"/>
          </w:tcPr>
          <w:p>
            <w:pPr>
              <w:autoSpaceDE w:val="0"/>
              <w:autoSpaceDN w:val="0"/>
              <w:adjustRightInd w:val="0"/>
              <w:rPr>
                <w:sz w:val="22"/>
              </w:rPr>
            </w:pPr>
          </w:p>
        </w:tc>
        <w:tc>
          <w:tcPr>
            <w:tcW w:w="2008" w:type="dxa"/>
            <w:vAlign w:val="top"/>
          </w:tcPr>
          <w:p>
            <w:pPr>
              <w:autoSpaceDE w:val="0"/>
              <w:autoSpaceDN w:val="0"/>
              <w:adjustRightInd w:val="0"/>
              <w:rPr>
                <w:sz w:val="22"/>
              </w:rPr>
            </w:pPr>
            <w:r>
              <w:rPr>
                <w:rFonts w:hint="eastAsia"/>
                <w:sz w:val="22"/>
              </w:rPr>
              <w:t>二零一七年</w:t>
            </w:r>
          </w:p>
        </w:tc>
        <w:tc>
          <w:tcPr>
            <w:tcW w:w="2008" w:type="dxa"/>
            <w:vAlign w:val="top"/>
          </w:tcPr>
          <w:p>
            <w:pPr>
              <w:autoSpaceDE w:val="0"/>
              <w:autoSpaceDN w:val="0"/>
              <w:adjustRightInd w:val="0"/>
              <w:rPr>
                <w:sz w:val="22"/>
              </w:rPr>
            </w:pPr>
            <w:r>
              <w:rPr>
                <w:rFonts w:hint="eastAsia"/>
                <w:sz w:val="22"/>
              </w:rPr>
              <w:t>二零一六年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20" w:type="dxa"/>
            <w:vAlign w:val="top"/>
          </w:tcPr>
          <w:p>
            <w:pPr>
              <w:autoSpaceDE w:val="0"/>
              <w:autoSpaceDN w:val="0"/>
              <w:adjustRightInd w:val="0"/>
              <w:rPr>
                <w:sz w:val="22"/>
              </w:rPr>
            </w:pPr>
          </w:p>
        </w:tc>
        <w:tc>
          <w:tcPr>
            <w:tcW w:w="2008" w:type="dxa"/>
            <w:vAlign w:val="top"/>
          </w:tcPr>
          <w:p>
            <w:pPr>
              <w:autoSpaceDE w:val="0"/>
              <w:autoSpaceDN w:val="0"/>
              <w:adjustRightInd w:val="0"/>
              <w:rPr>
                <w:sz w:val="22"/>
              </w:rPr>
            </w:pPr>
            <w:r>
              <w:rPr>
                <w:rFonts w:hint="eastAsia"/>
                <w:sz w:val="22"/>
              </w:rPr>
              <w:t>人民幣元</w:t>
            </w:r>
          </w:p>
        </w:tc>
        <w:tc>
          <w:tcPr>
            <w:tcW w:w="2008" w:type="dxa"/>
            <w:vAlign w:val="top"/>
          </w:tcPr>
          <w:p>
            <w:pPr>
              <w:autoSpaceDE w:val="0"/>
              <w:autoSpaceDN w:val="0"/>
              <w:adjustRightInd w:val="0"/>
              <w:rPr>
                <w:sz w:val="22"/>
              </w:rPr>
            </w:pPr>
            <w:r>
              <w:rPr>
                <w:rFonts w:hint="eastAsia"/>
                <w:sz w:val="22"/>
              </w:rPr>
              <w:t>人民幣元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20" w:type="dxa"/>
            <w:vAlign w:val="top"/>
          </w:tcPr>
          <w:p>
            <w:pPr>
              <w:autoSpaceDE w:val="0"/>
              <w:autoSpaceDN w:val="0"/>
              <w:adjustRightInd w:val="0"/>
              <w:rPr>
                <w:sz w:val="22"/>
              </w:rPr>
            </w:pPr>
            <w:r>
              <w:rPr>
                <w:rFonts w:hint="eastAsia"/>
                <w:sz w:val="22"/>
              </w:rPr>
              <w:t>營業稅</w:t>
            </w:r>
          </w:p>
        </w:tc>
        <w:tc>
          <w:tcPr>
            <w:tcW w:w="2008" w:type="dxa"/>
            <w:vAlign w:val="top"/>
          </w:tcPr>
          <w:p>
            <w:pPr>
              <w:spacing w:line="360" w:lineRule="exact"/>
              <w:jc w:val="right"/>
              <w:rPr>
                <w:sz w:val="22"/>
              </w:rPr>
            </w:pPr>
            <w:r>
              <w:rPr>
                <w:sz w:val="22"/>
              </w:rPr>
              <w:t>-</w:t>
            </w:r>
          </w:p>
        </w:tc>
        <w:tc>
          <w:tcPr>
            <w:tcW w:w="2008" w:type="dxa"/>
            <w:vAlign w:val="top"/>
          </w:tcPr>
          <w:p>
            <w:pPr>
              <w:spacing w:line="360" w:lineRule="exact"/>
              <w:jc w:val="right"/>
              <w:rPr>
                <w:sz w:val="22"/>
              </w:rPr>
            </w:pPr>
            <w:r>
              <w:rPr>
                <w:sz w:val="22"/>
              </w:rPr>
              <w:t>56,995.62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520" w:type="dxa"/>
            <w:vAlign w:val="top"/>
          </w:tcPr>
          <w:p>
            <w:pPr>
              <w:autoSpaceDE w:val="0"/>
              <w:autoSpaceDN w:val="0"/>
              <w:adjustRightInd w:val="0"/>
              <w:rPr>
                <w:sz w:val="22"/>
              </w:rPr>
            </w:pPr>
            <w:r>
              <w:rPr>
                <w:rFonts w:hint="eastAsia"/>
                <w:sz w:val="22"/>
              </w:rPr>
              <w:t>城市維護建設稅</w:t>
            </w:r>
          </w:p>
        </w:tc>
        <w:tc>
          <w:tcPr>
            <w:tcW w:w="2008" w:type="dxa"/>
            <w:vAlign w:val="top"/>
          </w:tcPr>
          <w:p>
            <w:pPr>
              <w:spacing w:line="360" w:lineRule="exact"/>
              <w:jc w:val="right"/>
              <w:rPr>
                <w:sz w:val="22"/>
              </w:rPr>
            </w:pPr>
            <w:r>
              <w:rPr>
                <w:sz w:val="22"/>
              </w:rPr>
              <w:t xml:space="preserve">16,276,618.60 </w:t>
            </w:r>
          </w:p>
        </w:tc>
        <w:tc>
          <w:tcPr>
            <w:tcW w:w="2008" w:type="dxa"/>
            <w:vAlign w:val="top"/>
          </w:tcPr>
          <w:p>
            <w:pPr>
              <w:spacing w:line="360" w:lineRule="exact"/>
              <w:jc w:val="right"/>
              <w:rPr>
                <w:sz w:val="22"/>
              </w:rPr>
            </w:pPr>
            <w:r>
              <w:rPr>
                <w:sz w:val="22"/>
              </w:rPr>
              <w:t>16,478,006.94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20" w:type="dxa"/>
            <w:vAlign w:val="top"/>
          </w:tcPr>
          <w:p>
            <w:pPr>
              <w:autoSpaceDE w:val="0"/>
              <w:autoSpaceDN w:val="0"/>
              <w:adjustRightInd w:val="0"/>
              <w:rPr>
                <w:sz w:val="22"/>
              </w:rPr>
            </w:pPr>
            <w:r>
              <w:rPr>
                <w:rFonts w:hint="eastAsia"/>
                <w:sz w:val="22"/>
              </w:rPr>
              <w:t>教育費附加</w:t>
            </w:r>
          </w:p>
        </w:tc>
        <w:tc>
          <w:tcPr>
            <w:tcW w:w="2008" w:type="dxa"/>
            <w:vAlign w:val="top"/>
          </w:tcPr>
          <w:p>
            <w:pPr>
              <w:spacing w:line="360" w:lineRule="exact"/>
              <w:jc w:val="right"/>
              <w:rPr>
                <w:sz w:val="22"/>
              </w:rPr>
            </w:pPr>
            <w:r>
              <w:rPr>
                <w:sz w:val="22"/>
              </w:rPr>
              <w:t>11,626,155.82</w:t>
            </w:r>
          </w:p>
        </w:tc>
        <w:tc>
          <w:tcPr>
            <w:tcW w:w="2008" w:type="dxa"/>
            <w:vAlign w:val="top"/>
          </w:tcPr>
          <w:p>
            <w:pPr>
              <w:spacing w:line="360" w:lineRule="exact"/>
              <w:jc w:val="right"/>
              <w:rPr>
                <w:sz w:val="22"/>
              </w:rPr>
            </w:pPr>
            <w:r>
              <w:rPr>
                <w:sz w:val="22"/>
              </w:rPr>
              <w:t>11,769,840.24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520" w:type="dxa"/>
            <w:vAlign w:val="top"/>
          </w:tcPr>
          <w:p>
            <w:pPr>
              <w:autoSpaceDE w:val="0"/>
              <w:autoSpaceDN w:val="0"/>
              <w:adjustRightInd w:val="0"/>
              <w:rPr>
                <w:sz w:val="22"/>
              </w:rPr>
            </w:pPr>
            <w:r>
              <w:rPr>
                <w:rFonts w:hint="eastAsia"/>
                <w:sz w:val="22"/>
              </w:rPr>
              <w:t>地方水利建設基金</w:t>
            </w:r>
          </w:p>
        </w:tc>
        <w:tc>
          <w:tcPr>
            <w:tcW w:w="2008" w:type="dxa"/>
            <w:vAlign w:val="top"/>
          </w:tcPr>
          <w:p>
            <w:pPr>
              <w:spacing w:line="360" w:lineRule="exact"/>
              <w:jc w:val="right"/>
              <w:rPr>
                <w:sz w:val="22"/>
              </w:rPr>
            </w:pPr>
            <w:r>
              <w:rPr>
                <w:sz w:val="22"/>
              </w:rPr>
              <w:t xml:space="preserve">1,735,819.84 </w:t>
            </w:r>
          </w:p>
        </w:tc>
        <w:tc>
          <w:tcPr>
            <w:tcW w:w="2008" w:type="dxa"/>
            <w:vAlign w:val="top"/>
          </w:tcPr>
          <w:p>
            <w:pPr>
              <w:spacing w:line="360" w:lineRule="exact"/>
              <w:jc w:val="right"/>
              <w:rPr>
                <w:sz w:val="22"/>
              </w:rPr>
            </w:pPr>
            <w:r>
              <w:rPr>
                <w:sz w:val="22"/>
              </w:rPr>
              <w:t>2,352,716.07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20" w:type="dxa"/>
            <w:vAlign w:val="top"/>
          </w:tcPr>
          <w:p>
            <w:pPr>
              <w:autoSpaceDE w:val="0"/>
              <w:autoSpaceDN w:val="0"/>
              <w:adjustRightInd w:val="0"/>
              <w:rPr>
                <w:sz w:val="22"/>
              </w:rPr>
            </w:pPr>
            <w:r>
              <w:rPr>
                <w:rFonts w:hint="eastAsia"/>
                <w:sz w:val="22"/>
              </w:rPr>
              <w:t>房產稅</w:t>
            </w:r>
          </w:p>
        </w:tc>
        <w:tc>
          <w:tcPr>
            <w:tcW w:w="2008" w:type="dxa"/>
            <w:vAlign w:val="top"/>
          </w:tcPr>
          <w:p>
            <w:pPr>
              <w:spacing w:line="360" w:lineRule="exact"/>
              <w:jc w:val="right"/>
              <w:rPr>
                <w:sz w:val="22"/>
              </w:rPr>
            </w:pPr>
            <w:r>
              <w:rPr>
                <w:sz w:val="22"/>
              </w:rPr>
              <w:t xml:space="preserve">12,276,639.19 </w:t>
            </w:r>
          </w:p>
        </w:tc>
        <w:tc>
          <w:tcPr>
            <w:tcW w:w="2008" w:type="dxa"/>
            <w:vAlign w:val="top"/>
          </w:tcPr>
          <w:p>
            <w:pPr>
              <w:spacing w:line="360" w:lineRule="exact"/>
              <w:jc w:val="right"/>
              <w:rPr>
                <w:sz w:val="22"/>
              </w:rPr>
            </w:pPr>
            <w:r>
              <w:rPr>
                <w:sz w:val="22"/>
              </w:rPr>
              <w:t>6,856,614.53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520" w:type="dxa"/>
            <w:vAlign w:val="top"/>
          </w:tcPr>
          <w:p>
            <w:pPr>
              <w:autoSpaceDE w:val="0"/>
              <w:autoSpaceDN w:val="0"/>
              <w:adjustRightInd w:val="0"/>
              <w:rPr>
                <w:sz w:val="22"/>
              </w:rPr>
            </w:pPr>
            <w:r>
              <w:rPr>
                <w:rFonts w:hint="eastAsia"/>
                <w:sz w:val="22"/>
              </w:rPr>
              <w:t>土地使用稅</w:t>
            </w:r>
          </w:p>
        </w:tc>
        <w:tc>
          <w:tcPr>
            <w:tcW w:w="2008" w:type="dxa"/>
            <w:vAlign w:val="top"/>
          </w:tcPr>
          <w:p>
            <w:pPr>
              <w:spacing w:line="360" w:lineRule="exact"/>
              <w:jc w:val="right"/>
              <w:rPr>
                <w:sz w:val="22"/>
              </w:rPr>
            </w:pPr>
            <w:r>
              <w:rPr>
                <w:sz w:val="22"/>
              </w:rPr>
              <w:t xml:space="preserve">16,361,907.64 </w:t>
            </w:r>
          </w:p>
        </w:tc>
        <w:tc>
          <w:tcPr>
            <w:tcW w:w="2008" w:type="dxa"/>
            <w:vAlign w:val="top"/>
          </w:tcPr>
          <w:p>
            <w:pPr>
              <w:spacing w:line="360" w:lineRule="exact"/>
              <w:jc w:val="right"/>
              <w:rPr>
                <w:sz w:val="22"/>
              </w:rPr>
            </w:pPr>
            <w:r>
              <w:rPr>
                <w:sz w:val="22"/>
              </w:rPr>
              <w:t>11,456,641.88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20" w:type="dxa"/>
            <w:vAlign w:val="top"/>
          </w:tcPr>
          <w:p>
            <w:pPr>
              <w:autoSpaceDE w:val="0"/>
              <w:autoSpaceDN w:val="0"/>
              <w:adjustRightInd w:val="0"/>
              <w:rPr>
                <w:sz w:val="22"/>
              </w:rPr>
            </w:pPr>
            <w:r>
              <w:rPr>
                <w:rFonts w:hint="eastAsia"/>
                <w:sz w:val="22"/>
              </w:rPr>
              <w:t>車船使用稅</w:t>
            </w:r>
          </w:p>
        </w:tc>
        <w:tc>
          <w:tcPr>
            <w:tcW w:w="2008" w:type="dxa"/>
            <w:vAlign w:val="top"/>
          </w:tcPr>
          <w:p>
            <w:pPr>
              <w:spacing w:line="360" w:lineRule="exact"/>
              <w:jc w:val="right"/>
              <w:rPr>
                <w:sz w:val="22"/>
              </w:rPr>
            </w:pPr>
            <w:r>
              <w:rPr>
                <w:sz w:val="22"/>
              </w:rPr>
              <w:t xml:space="preserve">58,202.91 </w:t>
            </w:r>
          </w:p>
        </w:tc>
        <w:tc>
          <w:tcPr>
            <w:tcW w:w="2008" w:type="dxa"/>
            <w:vAlign w:val="top"/>
          </w:tcPr>
          <w:p>
            <w:pPr>
              <w:spacing w:line="360" w:lineRule="exact"/>
              <w:jc w:val="right"/>
              <w:rPr>
                <w:sz w:val="22"/>
              </w:rPr>
            </w:pPr>
            <w:r>
              <w:rPr>
                <w:sz w:val="22"/>
              </w:rPr>
              <w:t>26,476.41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520" w:type="dxa"/>
            <w:vAlign w:val="top"/>
          </w:tcPr>
          <w:p>
            <w:pPr>
              <w:autoSpaceDE w:val="0"/>
              <w:autoSpaceDN w:val="0"/>
              <w:adjustRightInd w:val="0"/>
              <w:rPr>
                <w:sz w:val="22"/>
              </w:rPr>
            </w:pPr>
            <w:r>
              <w:rPr>
                <w:rFonts w:hint="eastAsia"/>
                <w:sz w:val="22"/>
              </w:rPr>
              <w:t>印花稅</w:t>
            </w:r>
          </w:p>
        </w:tc>
        <w:tc>
          <w:tcPr>
            <w:tcW w:w="2008" w:type="dxa"/>
            <w:tcBorders>
              <w:bottom w:val="nil"/>
            </w:tcBorders>
            <w:vAlign w:val="top"/>
          </w:tcPr>
          <w:p>
            <w:pPr>
              <w:spacing w:line="360" w:lineRule="exact"/>
              <w:jc w:val="right"/>
              <w:rPr>
                <w:sz w:val="22"/>
              </w:rPr>
            </w:pPr>
            <w:r>
              <w:rPr>
                <w:sz w:val="22"/>
              </w:rPr>
              <w:t xml:space="preserve">2,329,233.84 </w:t>
            </w:r>
          </w:p>
        </w:tc>
        <w:tc>
          <w:tcPr>
            <w:tcW w:w="2008" w:type="dxa"/>
            <w:tcBorders>
              <w:bottom w:val="nil"/>
            </w:tcBorders>
            <w:vAlign w:val="top"/>
          </w:tcPr>
          <w:p>
            <w:pPr>
              <w:spacing w:line="360" w:lineRule="exact"/>
              <w:jc w:val="right"/>
              <w:rPr>
                <w:sz w:val="22"/>
              </w:rPr>
            </w:pPr>
            <w:r>
              <w:rPr>
                <w:sz w:val="22"/>
              </w:rPr>
              <w:t>1,358,811.11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20" w:type="dxa"/>
            <w:tcBorders>
              <w:right w:val="nil"/>
            </w:tcBorders>
            <w:vAlign w:val="top"/>
          </w:tcPr>
          <w:p>
            <w:pPr>
              <w:autoSpaceDE w:val="0"/>
              <w:autoSpaceDN w:val="0"/>
              <w:adjustRightInd w:val="0"/>
              <w:rPr>
                <w:sz w:val="22"/>
              </w:rPr>
            </w:pPr>
            <w:r>
              <w:rPr>
                <w:rFonts w:hint="eastAsia"/>
                <w:sz w:val="22"/>
              </w:rPr>
              <w:t>合計</w:t>
            </w:r>
          </w:p>
        </w:tc>
        <w:tc>
          <w:tcPr>
            <w:tcW w:w="2008" w:type="dxa"/>
            <w:tcBorders>
              <w:top w:val="nil"/>
              <w:left w:val="nil"/>
              <w:bottom w:val="double" w:color="auto" w:sz="4" w:space="0"/>
              <w:right w:val="nil"/>
            </w:tcBorders>
            <w:vAlign w:val="top"/>
          </w:tcPr>
          <w:p>
            <w:pPr>
              <w:spacing w:line="360" w:lineRule="exact"/>
              <w:jc w:val="right"/>
              <w:rPr>
                <w:sz w:val="22"/>
              </w:rPr>
            </w:pPr>
            <w:r>
              <w:rPr>
                <w:sz w:val="22"/>
              </w:rPr>
              <w:t xml:space="preserve">60,664,577.84 </w:t>
            </w:r>
          </w:p>
        </w:tc>
        <w:tc>
          <w:tcPr>
            <w:tcW w:w="2008" w:type="dxa"/>
            <w:tcBorders>
              <w:top w:val="nil"/>
              <w:left w:val="nil"/>
              <w:bottom w:val="double" w:color="auto" w:sz="4" w:space="0"/>
              <w:right w:val="nil"/>
            </w:tcBorders>
            <w:vAlign w:val="top"/>
          </w:tcPr>
          <w:p>
            <w:pPr>
              <w:spacing w:line="360" w:lineRule="exact"/>
              <w:jc w:val="right"/>
              <w:rPr>
                <w:sz w:val="22"/>
              </w:rPr>
            </w:pPr>
            <w:r>
              <w:rPr>
                <w:sz w:val="22"/>
              </w:rPr>
              <w:t>50,356,102.80</w:t>
            </w:r>
          </w:p>
        </w:tc>
      </w:tr>
    </w:tbl>
    <w:p>
      <w:pPr>
        <w:autoSpaceDE w:val="0"/>
        <w:autoSpaceDN w:val="0"/>
        <w:adjustRightInd w:val="0"/>
        <w:rPr>
          <w:b/>
          <w:bCs/>
          <w:sz w:val="22"/>
          <w:szCs w:val="22"/>
        </w:rPr>
      </w:pPr>
    </w:p>
    <w:p>
      <w:pPr>
        <w:numPr>
          <w:ilvl w:val="0"/>
          <w:numId w:val="4"/>
        </w:numPr>
        <w:spacing w:line="320" w:lineRule="exact"/>
        <w:rPr>
          <w:b/>
          <w:sz w:val="22"/>
        </w:rPr>
      </w:pPr>
      <w:r>
        <w:rPr>
          <w:rFonts w:hint="eastAsia"/>
          <w:b/>
          <w:sz w:val="22"/>
        </w:rPr>
        <w:t>资产减值损失</w:t>
      </w:r>
    </w:p>
    <w:tbl>
      <w:tblPr>
        <w:tblW w:w="8536" w:type="dxa"/>
        <w:tblInd w:w="5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520"/>
        <w:gridCol w:w="2008"/>
        <w:gridCol w:w="2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20" w:type="dxa"/>
            <w:vAlign w:val="top"/>
          </w:tcPr>
          <w:p>
            <w:pPr>
              <w:spacing w:line="240" w:lineRule="exact"/>
              <w:jc w:val="center"/>
              <w:rPr>
                <w:sz w:val="22"/>
              </w:rPr>
            </w:pPr>
          </w:p>
        </w:tc>
        <w:tc>
          <w:tcPr>
            <w:tcW w:w="2008" w:type="dxa"/>
            <w:vAlign w:val="top"/>
          </w:tcPr>
          <w:p>
            <w:pPr>
              <w:pBdr>
                <w:bottom w:val="single" w:color="auto" w:sz="4" w:space="0"/>
              </w:pBdr>
              <w:spacing w:line="240" w:lineRule="exact"/>
              <w:jc w:val="center"/>
              <w:rPr>
                <w:sz w:val="22"/>
              </w:rPr>
            </w:pPr>
            <w:r>
              <w:rPr>
                <w:rFonts w:hint="eastAsia"/>
                <w:sz w:val="22"/>
              </w:rPr>
              <w:t>二零一七年</w:t>
            </w:r>
          </w:p>
        </w:tc>
        <w:tc>
          <w:tcPr>
            <w:tcW w:w="2008" w:type="dxa"/>
            <w:vAlign w:val="top"/>
          </w:tcPr>
          <w:p>
            <w:pPr>
              <w:pBdr>
                <w:bottom w:val="single" w:color="auto" w:sz="4" w:space="0"/>
              </w:pBdr>
              <w:spacing w:line="240" w:lineRule="exact"/>
              <w:jc w:val="center"/>
              <w:rPr>
                <w:sz w:val="22"/>
                <w:u w:val="single"/>
              </w:rPr>
            </w:pPr>
            <w:r>
              <w:rPr>
                <w:rFonts w:hint="eastAsia"/>
                <w:sz w:val="22"/>
              </w:rPr>
              <w:t>二零一六年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20" w:type="dxa"/>
            <w:vAlign w:val="top"/>
          </w:tcPr>
          <w:p>
            <w:pPr>
              <w:spacing w:line="240" w:lineRule="exact"/>
              <w:jc w:val="center"/>
              <w:rPr>
                <w:sz w:val="22"/>
              </w:rPr>
            </w:pPr>
          </w:p>
        </w:tc>
        <w:tc>
          <w:tcPr>
            <w:tcW w:w="2008" w:type="dxa"/>
            <w:vAlign w:val="top"/>
          </w:tcPr>
          <w:p>
            <w:pPr>
              <w:spacing w:line="240" w:lineRule="exact"/>
              <w:jc w:val="center"/>
              <w:rPr>
                <w:sz w:val="22"/>
              </w:rPr>
            </w:pPr>
            <w:r>
              <w:rPr>
                <w:rFonts w:hint="eastAsia"/>
                <w:sz w:val="22"/>
              </w:rPr>
              <w:t>人民幣元</w:t>
            </w:r>
          </w:p>
        </w:tc>
        <w:tc>
          <w:tcPr>
            <w:tcW w:w="2008" w:type="dxa"/>
            <w:vAlign w:val="top"/>
          </w:tcPr>
          <w:p>
            <w:pPr>
              <w:spacing w:line="240" w:lineRule="exact"/>
              <w:jc w:val="center"/>
              <w:rPr>
                <w:sz w:val="22"/>
              </w:rPr>
            </w:pPr>
            <w:r>
              <w:rPr>
                <w:rFonts w:hint="eastAsia"/>
                <w:sz w:val="22"/>
              </w:rPr>
              <w:t>人民幣元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20" w:type="dxa"/>
            <w:vAlign w:val="center"/>
          </w:tcPr>
          <w:p>
            <w:pPr>
              <w:rPr>
                <w:sz w:val="22"/>
              </w:rPr>
            </w:pPr>
            <w:r>
              <w:rPr>
                <w:rFonts w:hint="eastAsia" w:ascii="宋体" w:hAnsi="宋体" w:cs="宋体"/>
                <w:sz w:val="22"/>
                <w:szCs w:val="22"/>
              </w:rPr>
              <w:t>壞賬損失</w:t>
            </w:r>
          </w:p>
        </w:tc>
        <w:tc>
          <w:tcPr>
            <w:tcW w:w="2008" w:type="dxa"/>
            <w:vAlign w:val="center"/>
          </w:tcPr>
          <w:p>
            <w:pPr>
              <w:jc w:val="right"/>
              <w:rPr>
                <w:sz w:val="22"/>
              </w:rPr>
            </w:pPr>
            <w:r>
              <w:rPr>
                <w:rFonts w:hint="eastAsia" w:ascii="宋体" w:hAnsi="宋体" w:cs="宋体"/>
                <w:sz w:val="22"/>
                <w:szCs w:val="22"/>
              </w:rPr>
              <w:t xml:space="preserve">     （4,480,944.31） </w:t>
            </w:r>
          </w:p>
        </w:tc>
        <w:tc>
          <w:tcPr>
            <w:tcW w:w="2008" w:type="dxa"/>
            <w:vAlign w:val="center"/>
          </w:tcPr>
          <w:p>
            <w:pPr>
              <w:jc w:val="right"/>
              <w:rPr>
                <w:sz w:val="22"/>
              </w:rPr>
            </w:pPr>
            <w:r>
              <w:rPr>
                <w:rFonts w:hint="eastAsia" w:ascii="宋体" w:hAnsi="宋体" w:cs="宋体"/>
                <w:sz w:val="22"/>
                <w:szCs w:val="22"/>
              </w:rPr>
              <w:t>（1,138,315.23）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520" w:type="dxa"/>
            <w:vAlign w:val="center"/>
          </w:tcPr>
          <w:p>
            <w:pPr>
              <w:rPr>
                <w:sz w:val="22"/>
              </w:rPr>
            </w:pPr>
            <w:r>
              <w:rPr>
                <w:rFonts w:hint="eastAsia" w:ascii="宋体" w:hAnsi="宋体" w:cs="宋体"/>
                <w:sz w:val="22"/>
                <w:szCs w:val="22"/>
              </w:rPr>
              <w:t>存貨跌價損失</w:t>
            </w:r>
          </w:p>
        </w:tc>
        <w:tc>
          <w:tcPr>
            <w:tcW w:w="2008" w:type="dxa"/>
            <w:vAlign w:val="center"/>
          </w:tcPr>
          <w:p>
            <w:pPr>
              <w:jc w:val="right"/>
              <w:rPr>
                <w:sz w:val="22"/>
              </w:rPr>
            </w:pPr>
            <w:r>
              <w:rPr>
                <w:rFonts w:hint="eastAsia" w:ascii="宋体" w:hAnsi="宋体" w:cs="宋体"/>
                <w:sz w:val="22"/>
                <w:szCs w:val="22"/>
              </w:rPr>
              <w:t xml:space="preserve">    18,008,351.05 </w:t>
            </w:r>
          </w:p>
        </w:tc>
        <w:tc>
          <w:tcPr>
            <w:tcW w:w="2008" w:type="dxa"/>
            <w:vAlign w:val="center"/>
          </w:tcPr>
          <w:p>
            <w:pPr>
              <w:jc w:val="right"/>
              <w:rPr>
                <w:sz w:val="22"/>
              </w:rPr>
            </w:pPr>
            <w:r>
              <w:rPr>
                <w:rFonts w:hint="eastAsia" w:ascii="宋体" w:hAnsi="宋体" w:cs="宋体"/>
                <w:sz w:val="22"/>
                <w:szCs w:val="22"/>
              </w:rPr>
              <w:t>20,819,040.18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20" w:type="dxa"/>
            <w:vAlign w:val="center"/>
          </w:tcPr>
          <w:p>
            <w:pPr>
              <w:rPr>
                <w:sz w:val="22"/>
              </w:rPr>
            </w:pPr>
            <w:r>
              <w:rPr>
                <w:rFonts w:hint="eastAsia" w:ascii="宋体" w:hAnsi="宋体" w:cs="宋体"/>
                <w:sz w:val="22"/>
                <w:szCs w:val="22"/>
              </w:rPr>
              <w:t>固定資產減值損失</w:t>
            </w:r>
          </w:p>
        </w:tc>
        <w:tc>
          <w:tcPr>
            <w:tcW w:w="2008" w:type="dxa"/>
            <w:vAlign w:val="center"/>
          </w:tcPr>
          <w:p>
            <w:pPr>
              <w:jc w:val="right"/>
              <w:rPr>
                <w:sz w:val="22"/>
              </w:rPr>
            </w:pPr>
            <w:r>
              <w:rPr>
                <w:rFonts w:hint="eastAsia" w:ascii="宋体" w:hAnsi="宋体" w:cs="宋体"/>
                <w:sz w:val="22"/>
                <w:szCs w:val="22"/>
              </w:rPr>
              <w:t>2,608,693.82</w:t>
            </w:r>
          </w:p>
        </w:tc>
        <w:tc>
          <w:tcPr>
            <w:tcW w:w="2008" w:type="dxa"/>
            <w:vAlign w:val="center"/>
          </w:tcPr>
          <w:p>
            <w:pPr>
              <w:jc w:val="right"/>
              <w:rPr>
                <w:sz w:val="22"/>
              </w:rPr>
            </w:pPr>
            <w:r>
              <w:rPr>
                <w:rFonts w:hint="eastAsia"/>
                <w:sz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520" w:type="dxa"/>
            <w:vAlign w:val="center"/>
          </w:tcPr>
          <w:p>
            <w:pPr>
              <w:rPr>
                <w:sz w:val="22"/>
              </w:rPr>
            </w:pPr>
            <w:r>
              <w:rPr>
                <w:rFonts w:hint="eastAsia" w:ascii="宋体" w:hAnsi="宋体" w:cs="宋体"/>
                <w:b/>
                <w:bCs/>
                <w:sz w:val="22"/>
                <w:szCs w:val="22"/>
              </w:rPr>
              <w:t>合計</w:t>
            </w:r>
          </w:p>
        </w:tc>
        <w:tc>
          <w:tcPr>
            <w:tcW w:w="2008" w:type="dxa"/>
            <w:vAlign w:val="center"/>
          </w:tcPr>
          <w:p>
            <w:pPr>
              <w:jc w:val="right"/>
              <w:rPr>
                <w:sz w:val="22"/>
              </w:rPr>
            </w:pPr>
            <w:r>
              <w:rPr>
                <w:rFonts w:hint="eastAsia" w:ascii="宋体" w:hAnsi="宋体" w:cs="宋体"/>
                <w:b/>
                <w:sz w:val="22"/>
                <w:szCs w:val="22"/>
              </w:rPr>
              <w:t>16,136,100.56</w:t>
            </w:r>
          </w:p>
        </w:tc>
        <w:tc>
          <w:tcPr>
            <w:tcW w:w="2008" w:type="dxa"/>
            <w:vAlign w:val="center"/>
          </w:tcPr>
          <w:p>
            <w:pPr>
              <w:jc w:val="right"/>
              <w:rPr>
                <w:sz w:val="22"/>
              </w:rPr>
            </w:pPr>
            <w:r>
              <w:rPr>
                <w:rFonts w:hint="eastAsia" w:ascii="宋体" w:hAnsi="宋体" w:cs="宋体"/>
                <w:b/>
                <w:sz w:val="22"/>
                <w:szCs w:val="22"/>
              </w:rPr>
              <w:t>19,680,724.95</w:t>
            </w:r>
          </w:p>
        </w:tc>
      </w:tr>
    </w:tbl>
    <w:p>
      <w:pPr>
        <w:spacing w:line="320" w:lineRule="exact"/>
        <w:rPr>
          <w:b/>
          <w:sz w:val="22"/>
        </w:rPr>
      </w:pPr>
    </w:p>
    <w:p>
      <w:pPr>
        <w:numPr>
          <w:ilvl w:val="0"/>
          <w:numId w:val="4"/>
        </w:numPr>
        <w:spacing w:line="320" w:lineRule="exact"/>
        <w:rPr>
          <w:b/>
          <w:sz w:val="22"/>
        </w:rPr>
      </w:pPr>
      <w:r>
        <w:rPr>
          <w:rFonts w:hint="eastAsia"/>
          <w:b/>
          <w:sz w:val="22"/>
        </w:rPr>
        <w:t>所得稅費用</w:t>
      </w:r>
    </w:p>
    <w:p>
      <w:pPr>
        <w:spacing w:line="360" w:lineRule="exact"/>
        <w:ind w:firstLine="440" w:firstLineChars="200"/>
        <w:rPr>
          <w:sz w:val="22"/>
        </w:rPr>
      </w:pPr>
      <w:r>
        <w:rPr>
          <w:rFonts w:hint="eastAsia"/>
          <w:sz w:val="22"/>
        </w:rPr>
        <w:t>（</w:t>
      </w:r>
      <w:r>
        <w:rPr>
          <w:sz w:val="22"/>
        </w:rPr>
        <w:t>1</w:t>
      </w:r>
      <w:r>
        <w:rPr>
          <w:rFonts w:hint="eastAsia"/>
          <w:sz w:val="22"/>
        </w:rPr>
        <w:t>）所得稅費用</w:t>
      </w:r>
    </w:p>
    <w:p>
      <w:pPr>
        <w:spacing w:line="360" w:lineRule="exact"/>
        <w:ind w:firstLine="440" w:firstLineChars="200"/>
        <w:rPr>
          <w:sz w:val="22"/>
        </w:rPr>
      </w:pPr>
    </w:p>
    <w:tbl>
      <w:tblPr>
        <w:tblW w:w="8536" w:type="dxa"/>
        <w:tblInd w:w="5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520"/>
        <w:gridCol w:w="2008"/>
        <w:gridCol w:w="2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20" w:type="dxa"/>
            <w:vAlign w:val="top"/>
          </w:tcPr>
          <w:p>
            <w:pPr>
              <w:spacing w:line="240" w:lineRule="exact"/>
              <w:jc w:val="center"/>
              <w:rPr>
                <w:sz w:val="22"/>
              </w:rPr>
            </w:pPr>
          </w:p>
        </w:tc>
        <w:tc>
          <w:tcPr>
            <w:tcW w:w="2008" w:type="dxa"/>
            <w:vAlign w:val="top"/>
          </w:tcPr>
          <w:p>
            <w:pPr>
              <w:pBdr>
                <w:bottom w:val="single" w:color="auto" w:sz="4" w:space="0"/>
              </w:pBdr>
              <w:spacing w:line="240" w:lineRule="exact"/>
              <w:jc w:val="center"/>
              <w:rPr>
                <w:sz w:val="22"/>
              </w:rPr>
            </w:pPr>
            <w:r>
              <w:rPr>
                <w:rFonts w:hint="eastAsia"/>
                <w:sz w:val="22"/>
              </w:rPr>
              <w:t>二零一七年</w:t>
            </w:r>
          </w:p>
        </w:tc>
        <w:tc>
          <w:tcPr>
            <w:tcW w:w="2008" w:type="dxa"/>
            <w:vAlign w:val="top"/>
          </w:tcPr>
          <w:p>
            <w:pPr>
              <w:pBdr>
                <w:bottom w:val="single" w:color="auto" w:sz="4" w:space="0"/>
              </w:pBdr>
              <w:spacing w:line="240" w:lineRule="exact"/>
              <w:jc w:val="center"/>
              <w:rPr>
                <w:sz w:val="22"/>
                <w:u w:val="single"/>
              </w:rPr>
            </w:pPr>
            <w:r>
              <w:rPr>
                <w:rFonts w:hint="eastAsia"/>
                <w:sz w:val="22"/>
              </w:rPr>
              <w:t>二零一六年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20" w:type="dxa"/>
            <w:vAlign w:val="top"/>
          </w:tcPr>
          <w:p>
            <w:pPr>
              <w:spacing w:line="240" w:lineRule="exact"/>
              <w:jc w:val="center"/>
              <w:rPr>
                <w:sz w:val="22"/>
              </w:rPr>
            </w:pPr>
          </w:p>
        </w:tc>
        <w:tc>
          <w:tcPr>
            <w:tcW w:w="2008" w:type="dxa"/>
            <w:vAlign w:val="top"/>
          </w:tcPr>
          <w:p>
            <w:pPr>
              <w:spacing w:line="240" w:lineRule="exact"/>
              <w:jc w:val="center"/>
              <w:rPr>
                <w:sz w:val="22"/>
              </w:rPr>
            </w:pPr>
            <w:r>
              <w:rPr>
                <w:rFonts w:hint="eastAsia"/>
                <w:sz w:val="22"/>
              </w:rPr>
              <w:t>人民幣元</w:t>
            </w:r>
          </w:p>
        </w:tc>
        <w:tc>
          <w:tcPr>
            <w:tcW w:w="2008" w:type="dxa"/>
            <w:vAlign w:val="top"/>
          </w:tcPr>
          <w:p>
            <w:pPr>
              <w:spacing w:line="240" w:lineRule="exact"/>
              <w:jc w:val="center"/>
              <w:rPr>
                <w:sz w:val="22"/>
              </w:rPr>
            </w:pPr>
            <w:r>
              <w:rPr>
                <w:rFonts w:hint="eastAsia"/>
                <w:sz w:val="22"/>
              </w:rPr>
              <w:t>人民幣元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20" w:type="dxa"/>
            <w:vAlign w:val="bottom"/>
          </w:tcPr>
          <w:p>
            <w:pPr>
              <w:rPr>
                <w:sz w:val="22"/>
              </w:rPr>
            </w:pPr>
            <w:r>
              <w:rPr>
                <w:rFonts w:hint="eastAsia"/>
                <w:sz w:val="22"/>
              </w:rPr>
              <w:t>當期所得稅費用</w:t>
            </w:r>
          </w:p>
        </w:tc>
        <w:tc>
          <w:tcPr>
            <w:tcW w:w="2008" w:type="dxa"/>
            <w:vAlign w:val="center"/>
          </w:tcPr>
          <w:p>
            <w:pPr>
              <w:jc w:val="right"/>
              <w:rPr>
                <w:sz w:val="22"/>
              </w:rPr>
            </w:pPr>
            <w:r>
              <w:rPr>
                <w:sz w:val="22"/>
              </w:rPr>
              <w:t xml:space="preserve">32,077,945.65 </w:t>
            </w:r>
          </w:p>
        </w:tc>
        <w:tc>
          <w:tcPr>
            <w:tcW w:w="2008" w:type="dxa"/>
            <w:vAlign w:val="center"/>
          </w:tcPr>
          <w:p>
            <w:pPr>
              <w:jc w:val="right"/>
              <w:rPr>
                <w:sz w:val="22"/>
              </w:rPr>
            </w:pPr>
            <w:r>
              <w:rPr>
                <w:sz w:val="22"/>
              </w:rPr>
              <w:t>32,893,908.20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520" w:type="dxa"/>
            <w:vAlign w:val="bottom"/>
          </w:tcPr>
          <w:p>
            <w:pPr>
              <w:rPr>
                <w:sz w:val="22"/>
                <w:lang w:eastAsia="zh-TW"/>
              </w:rPr>
            </w:pPr>
            <w:r>
              <w:rPr>
                <w:rFonts w:hint="eastAsia"/>
                <w:sz w:val="22"/>
                <w:lang w:eastAsia="zh-TW"/>
              </w:rPr>
              <w:t>其中：中國企業所得稅</w:t>
            </w:r>
          </w:p>
        </w:tc>
        <w:tc>
          <w:tcPr>
            <w:tcW w:w="2008" w:type="dxa"/>
            <w:vAlign w:val="center"/>
          </w:tcPr>
          <w:p>
            <w:pPr>
              <w:jc w:val="right"/>
              <w:rPr>
                <w:sz w:val="22"/>
              </w:rPr>
            </w:pPr>
            <w:r>
              <w:rPr>
                <w:sz w:val="22"/>
              </w:rPr>
              <w:t xml:space="preserve">31,403,119.36 </w:t>
            </w:r>
          </w:p>
        </w:tc>
        <w:tc>
          <w:tcPr>
            <w:tcW w:w="2008" w:type="dxa"/>
            <w:vAlign w:val="center"/>
          </w:tcPr>
          <w:p>
            <w:pPr>
              <w:jc w:val="right"/>
              <w:rPr>
                <w:sz w:val="22"/>
              </w:rPr>
            </w:pPr>
            <w:r>
              <w:rPr>
                <w:sz w:val="22"/>
              </w:rPr>
              <w:t>32,707,867.53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20" w:type="dxa"/>
            <w:vAlign w:val="center"/>
          </w:tcPr>
          <w:p>
            <w:pPr>
              <w:ind w:firstLine="660" w:firstLineChars="300"/>
              <w:rPr>
                <w:sz w:val="22"/>
              </w:rPr>
            </w:pPr>
            <w:r>
              <w:rPr>
                <w:rFonts w:hint="eastAsia"/>
                <w:sz w:val="22"/>
              </w:rPr>
              <w:t>香港利得稅</w:t>
            </w:r>
          </w:p>
        </w:tc>
        <w:tc>
          <w:tcPr>
            <w:tcW w:w="2008" w:type="dxa"/>
            <w:vAlign w:val="top"/>
          </w:tcPr>
          <w:p>
            <w:pPr>
              <w:jc w:val="right"/>
              <w:rPr>
                <w:sz w:val="22"/>
              </w:rPr>
            </w:pPr>
            <w:r>
              <w:rPr>
                <w:sz w:val="22"/>
              </w:rPr>
              <w:t>-</w:t>
            </w:r>
          </w:p>
        </w:tc>
        <w:tc>
          <w:tcPr>
            <w:tcW w:w="2008" w:type="dxa"/>
            <w:vAlign w:val="top"/>
          </w:tcPr>
          <w:p>
            <w:pPr>
              <w:jc w:val="right"/>
              <w:rPr>
                <w:sz w:val="22"/>
              </w:rPr>
            </w:pPr>
            <w:r>
              <w:rPr>
                <w:sz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520" w:type="dxa"/>
            <w:vAlign w:val="center"/>
          </w:tcPr>
          <w:p>
            <w:pPr>
              <w:ind w:firstLine="660" w:firstLineChars="300"/>
              <w:rPr>
                <w:sz w:val="22"/>
              </w:rPr>
            </w:pPr>
            <w:r>
              <w:rPr>
                <w:rFonts w:hint="eastAsia"/>
                <w:sz w:val="22"/>
              </w:rPr>
              <w:t>澳門所得稅</w:t>
            </w:r>
          </w:p>
        </w:tc>
        <w:tc>
          <w:tcPr>
            <w:tcW w:w="2008" w:type="dxa"/>
            <w:vAlign w:val="top"/>
          </w:tcPr>
          <w:p>
            <w:pPr>
              <w:jc w:val="right"/>
              <w:rPr>
                <w:sz w:val="22"/>
              </w:rPr>
            </w:pPr>
            <w:r>
              <w:rPr>
                <w:sz w:val="22"/>
              </w:rPr>
              <w:t>-</w:t>
            </w:r>
          </w:p>
        </w:tc>
        <w:tc>
          <w:tcPr>
            <w:tcW w:w="2008" w:type="dxa"/>
            <w:vAlign w:val="top"/>
          </w:tcPr>
          <w:p>
            <w:pPr>
              <w:jc w:val="right"/>
              <w:rPr>
                <w:sz w:val="22"/>
              </w:rPr>
            </w:pPr>
            <w:r>
              <w:rPr>
                <w:sz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20" w:type="dxa"/>
            <w:vAlign w:val="center"/>
          </w:tcPr>
          <w:p>
            <w:pPr>
              <w:ind w:firstLine="550" w:firstLineChars="250"/>
              <w:rPr>
                <w:sz w:val="22"/>
              </w:rPr>
            </w:pPr>
            <w:r>
              <w:rPr>
                <w:rFonts w:hint="eastAsia"/>
                <w:sz w:val="22"/>
              </w:rPr>
              <w:t>美國所得稅</w:t>
            </w:r>
          </w:p>
        </w:tc>
        <w:tc>
          <w:tcPr>
            <w:tcW w:w="2008" w:type="dxa"/>
            <w:vAlign w:val="top"/>
          </w:tcPr>
          <w:p>
            <w:pPr>
              <w:jc w:val="right"/>
              <w:rPr>
                <w:sz w:val="22"/>
              </w:rPr>
            </w:pPr>
            <w:r>
              <w:rPr>
                <w:sz w:val="22"/>
              </w:rPr>
              <w:t xml:space="preserve">674,826.29 </w:t>
            </w:r>
          </w:p>
        </w:tc>
        <w:tc>
          <w:tcPr>
            <w:tcW w:w="2008" w:type="dxa"/>
            <w:vAlign w:val="top"/>
          </w:tcPr>
          <w:p>
            <w:pPr>
              <w:jc w:val="right"/>
              <w:rPr>
                <w:sz w:val="22"/>
              </w:rPr>
            </w:pPr>
            <w:r>
              <w:rPr>
                <w:sz w:val="22"/>
              </w:rPr>
              <w:t>186,040.67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520" w:type="dxa"/>
            <w:vAlign w:val="bottom"/>
          </w:tcPr>
          <w:p>
            <w:pPr>
              <w:rPr>
                <w:sz w:val="22"/>
              </w:rPr>
            </w:pPr>
            <w:r>
              <w:rPr>
                <w:rFonts w:hint="eastAsia"/>
                <w:sz w:val="22"/>
              </w:rPr>
              <w:t>遞延所得稅費用</w:t>
            </w:r>
          </w:p>
        </w:tc>
        <w:tc>
          <w:tcPr>
            <w:tcW w:w="2008" w:type="dxa"/>
            <w:vAlign w:val="center"/>
          </w:tcPr>
          <w:p>
            <w:pPr>
              <w:jc w:val="right"/>
              <w:rPr>
                <w:sz w:val="22"/>
              </w:rPr>
            </w:pPr>
            <w:r>
              <w:rPr>
                <w:sz w:val="22"/>
              </w:rPr>
              <w:t xml:space="preserve">9,685,580.92 </w:t>
            </w:r>
          </w:p>
        </w:tc>
        <w:tc>
          <w:tcPr>
            <w:tcW w:w="2008" w:type="dxa"/>
            <w:vAlign w:val="center"/>
          </w:tcPr>
          <w:p>
            <w:pPr>
              <w:jc w:val="right"/>
              <w:rPr>
                <w:sz w:val="22"/>
              </w:rPr>
            </w:pPr>
            <w:r>
              <w:rPr>
                <w:sz w:val="22"/>
              </w:rPr>
              <w:t>(7,237,936.15)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20" w:type="dxa"/>
            <w:vAlign w:val="bottom"/>
          </w:tcPr>
          <w:p>
            <w:pPr>
              <w:rPr>
                <w:sz w:val="22"/>
                <w:lang w:eastAsia="zh-TW"/>
              </w:rPr>
            </w:pPr>
            <w:r>
              <w:rPr>
                <w:rFonts w:hint="eastAsia"/>
                <w:sz w:val="22"/>
                <w:lang w:eastAsia="zh-TW"/>
              </w:rPr>
              <w:t>以前年度多計（少計）</w:t>
            </w:r>
          </w:p>
        </w:tc>
        <w:tc>
          <w:tcPr>
            <w:tcW w:w="2008" w:type="dxa"/>
            <w:vAlign w:val="center"/>
          </w:tcPr>
          <w:p>
            <w:pPr>
              <w:jc w:val="right"/>
              <w:rPr>
                <w:sz w:val="22"/>
              </w:rPr>
            </w:pPr>
            <w:r>
              <w:rPr>
                <w:sz w:val="22"/>
              </w:rPr>
              <w:t xml:space="preserve">5,161,597.54 </w:t>
            </w:r>
          </w:p>
        </w:tc>
        <w:tc>
          <w:tcPr>
            <w:tcW w:w="2008" w:type="dxa"/>
            <w:vAlign w:val="center"/>
          </w:tcPr>
          <w:p>
            <w:pPr>
              <w:jc w:val="right"/>
              <w:rPr>
                <w:sz w:val="22"/>
              </w:rPr>
            </w:pPr>
            <w:r>
              <w:rPr>
                <w:sz w:val="22"/>
              </w:rPr>
              <w:t>1,265,246.29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97" w:hRule="atLeast"/>
        </w:trPr>
        <w:tc>
          <w:tcPr>
            <w:tcW w:w="4520" w:type="dxa"/>
            <w:vAlign w:val="bottom"/>
          </w:tcPr>
          <w:p>
            <w:pPr>
              <w:rPr>
                <w:sz w:val="22"/>
              </w:rPr>
            </w:pPr>
            <w:r>
              <w:rPr>
                <w:rFonts w:hint="eastAsia"/>
                <w:b/>
                <w:sz w:val="22"/>
              </w:rPr>
              <w:t>合計</w:t>
            </w:r>
          </w:p>
        </w:tc>
        <w:tc>
          <w:tcPr>
            <w:tcW w:w="2008" w:type="dxa"/>
            <w:tcBorders>
              <w:bottom w:val="double" w:color="auto" w:sz="4" w:space="0"/>
            </w:tcBorders>
            <w:vAlign w:val="center"/>
          </w:tcPr>
          <w:p>
            <w:pPr>
              <w:jc w:val="right"/>
              <w:rPr>
                <w:b/>
                <w:sz w:val="22"/>
              </w:rPr>
            </w:pPr>
            <w:r>
              <w:rPr>
                <w:b/>
                <w:sz w:val="22"/>
              </w:rPr>
              <w:t>46,925,124.11</w:t>
            </w:r>
          </w:p>
        </w:tc>
        <w:tc>
          <w:tcPr>
            <w:tcW w:w="2008" w:type="dxa"/>
            <w:vAlign w:val="bottom"/>
          </w:tcPr>
          <w:p>
            <w:pPr>
              <w:pStyle w:val="29"/>
              <w:pBdr>
                <w:bottom w:val="double" w:color="auto" w:sz="4" w:space="1"/>
              </w:pBdr>
              <w:spacing w:line="240" w:lineRule="exact"/>
              <w:jc w:val="right"/>
              <w:rPr>
                <w:rFonts w:ascii="Times New Roman" w:hAnsi="Times New Roman"/>
                <w:kern w:val="2"/>
                <w:sz w:val="22"/>
              </w:rPr>
            </w:pPr>
            <w:r>
              <w:rPr>
                <w:rFonts w:ascii="Times New Roman" w:hAnsi="Times New Roman"/>
                <w:b/>
                <w:sz w:val="22"/>
              </w:rPr>
              <w:t>26,921,218.34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20" w:type="dxa"/>
            <w:vAlign w:val="center"/>
          </w:tcPr>
          <w:p>
            <w:pPr>
              <w:jc w:val="center"/>
              <w:rPr>
                <w:sz w:val="22"/>
              </w:rPr>
            </w:pPr>
          </w:p>
        </w:tc>
        <w:tc>
          <w:tcPr>
            <w:tcW w:w="2008" w:type="dxa"/>
            <w:tcBorders>
              <w:top w:val="double" w:color="auto" w:sz="4" w:space="0"/>
            </w:tcBorders>
            <w:vAlign w:val="center"/>
          </w:tcPr>
          <w:p>
            <w:pPr>
              <w:jc w:val="right"/>
              <w:rPr>
                <w:b/>
                <w:sz w:val="22"/>
                <w:u w:val="double"/>
              </w:rPr>
            </w:pPr>
          </w:p>
        </w:tc>
        <w:tc>
          <w:tcPr>
            <w:tcW w:w="2008" w:type="dxa"/>
            <w:vAlign w:val="center"/>
          </w:tcPr>
          <w:p>
            <w:pPr>
              <w:jc w:val="right"/>
              <w:rPr>
                <w:b/>
                <w:sz w:val="22"/>
                <w:u w:val="double"/>
              </w:rPr>
            </w:pPr>
          </w:p>
        </w:tc>
      </w:tr>
    </w:tbl>
    <w:p>
      <w:pPr>
        <w:spacing w:line="360" w:lineRule="exact"/>
        <w:ind w:firstLine="440" w:firstLineChars="200"/>
        <w:rPr>
          <w:sz w:val="22"/>
        </w:rPr>
      </w:pPr>
    </w:p>
    <w:p>
      <w:pPr>
        <w:spacing w:line="360" w:lineRule="exact"/>
        <w:ind w:firstLine="440" w:firstLineChars="200"/>
        <w:rPr>
          <w:sz w:val="22"/>
        </w:rPr>
      </w:pPr>
    </w:p>
    <w:p>
      <w:pPr>
        <w:spacing w:line="360" w:lineRule="exact"/>
        <w:ind w:firstLine="440" w:firstLineChars="200"/>
        <w:rPr>
          <w:sz w:val="22"/>
        </w:rPr>
      </w:pPr>
    </w:p>
    <w:p>
      <w:pPr>
        <w:spacing w:line="360" w:lineRule="exact"/>
        <w:rPr>
          <w:sz w:val="22"/>
          <w:lang w:eastAsia="zh-TW"/>
        </w:rPr>
      </w:pPr>
      <w:r>
        <w:rPr>
          <w:rFonts w:hint="eastAsia"/>
          <w:sz w:val="22"/>
          <w:lang w:eastAsia="zh-TW"/>
        </w:rPr>
        <w:t>（</w:t>
      </w:r>
      <w:r>
        <w:rPr>
          <w:sz w:val="22"/>
          <w:lang w:eastAsia="zh-TW"/>
        </w:rPr>
        <w:t>2</w:t>
      </w:r>
      <w:r>
        <w:rPr>
          <w:rFonts w:hint="eastAsia"/>
          <w:sz w:val="22"/>
          <w:lang w:eastAsia="zh-TW"/>
        </w:rPr>
        <w:t>）會計利潤與所得稅費用調整過程</w:t>
      </w:r>
    </w:p>
    <w:tbl>
      <w:tblPr>
        <w:tblW w:w="8536" w:type="dxa"/>
        <w:tblInd w:w="5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520"/>
        <w:gridCol w:w="2008"/>
        <w:gridCol w:w="2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20" w:type="dxa"/>
            <w:vAlign w:val="top"/>
          </w:tcPr>
          <w:p>
            <w:pPr>
              <w:spacing w:line="240" w:lineRule="exact"/>
              <w:jc w:val="center"/>
              <w:rPr>
                <w:sz w:val="22"/>
                <w:lang w:eastAsia="zh-TW"/>
              </w:rPr>
            </w:pPr>
          </w:p>
        </w:tc>
        <w:tc>
          <w:tcPr>
            <w:tcW w:w="2008" w:type="dxa"/>
            <w:vAlign w:val="top"/>
          </w:tcPr>
          <w:p>
            <w:pPr>
              <w:pBdr>
                <w:bottom w:val="single" w:color="auto" w:sz="4" w:space="0"/>
              </w:pBdr>
              <w:spacing w:line="240" w:lineRule="exact"/>
              <w:jc w:val="center"/>
              <w:rPr>
                <w:sz w:val="22"/>
              </w:rPr>
            </w:pPr>
            <w:r>
              <w:rPr>
                <w:rFonts w:hint="eastAsia"/>
                <w:sz w:val="22"/>
              </w:rPr>
              <w:t>二零一七年</w:t>
            </w:r>
          </w:p>
        </w:tc>
        <w:tc>
          <w:tcPr>
            <w:tcW w:w="2008" w:type="dxa"/>
            <w:vAlign w:val="top"/>
          </w:tcPr>
          <w:p>
            <w:pPr>
              <w:pBdr>
                <w:bottom w:val="single" w:color="auto" w:sz="4" w:space="0"/>
              </w:pBdr>
              <w:spacing w:line="240" w:lineRule="exact"/>
              <w:jc w:val="center"/>
              <w:rPr>
                <w:sz w:val="22"/>
                <w:u w:val="single"/>
              </w:rPr>
            </w:pPr>
            <w:r>
              <w:rPr>
                <w:rFonts w:hint="eastAsia"/>
                <w:sz w:val="22"/>
              </w:rPr>
              <w:t>二零一六年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20" w:type="dxa"/>
            <w:vAlign w:val="top"/>
          </w:tcPr>
          <w:p>
            <w:pPr>
              <w:spacing w:line="240" w:lineRule="exact"/>
              <w:jc w:val="center"/>
              <w:rPr>
                <w:sz w:val="22"/>
              </w:rPr>
            </w:pPr>
          </w:p>
        </w:tc>
        <w:tc>
          <w:tcPr>
            <w:tcW w:w="2008" w:type="dxa"/>
            <w:vAlign w:val="top"/>
          </w:tcPr>
          <w:p>
            <w:pPr>
              <w:spacing w:line="240" w:lineRule="exact"/>
              <w:jc w:val="center"/>
              <w:rPr>
                <w:sz w:val="22"/>
              </w:rPr>
            </w:pPr>
            <w:r>
              <w:rPr>
                <w:rFonts w:hint="eastAsia"/>
                <w:sz w:val="22"/>
              </w:rPr>
              <w:t>人民幣元</w:t>
            </w:r>
          </w:p>
        </w:tc>
        <w:tc>
          <w:tcPr>
            <w:tcW w:w="2008" w:type="dxa"/>
            <w:vAlign w:val="top"/>
          </w:tcPr>
          <w:p>
            <w:pPr>
              <w:spacing w:line="240" w:lineRule="exact"/>
              <w:jc w:val="center"/>
              <w:rPr>
                <w:sz w:val="22"/>
              </w:rPr>
            </w:pPr>
            <w:r>
              <w:rPr>
                <w:rFonts w:hint="eastAsia"/>
                <w:sz w:val="22"/>
              </w:rPr>
              <w:t>人民幣元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20" w:type="dxa"/>
            <w:vAlign w:val="bottom"/>
          </w:tcPr>
          <w:p>
            <w:pPr>
              <w:spacing w:line="360" w:lineRule="exact"/>
              <w:rPr>
                <w:sz w:val="22"/>
              </w:rPr>
            </w:pPr>
            <w:r>
              <w:rPr>
                <w:rFonts w:hint="eastAsia"/>
                <w:sz w:val="22"/>
              </w:rPr>
              <w:t>本期合併利潤總額</w:t>
            </w:r>
          </w:p>
        </w:tc>
        <w:tc>
          <w:tcPr>
            <w:tcW w:w="2008" w:type="dxa"/>
            <w:vAlign w:val="center"/>
          </w:tcPr>
          <w:p>
            <w:pPr>
              <w:jc w:val="right"/>
              <w:rPr>
                <w:sz w:val="22"/>
              </w:rPr>
            </w:pPr>
            <w:r>
              <w:rPr>
                <w:sz w:val="22"/>
              </w:rPr>
              <w:t xml:space="preserve">268,173,876.00 </w:t>
            </w:r>
          </w:p>
        </w:tc>
        <w:tc>
          <w:tcPr>
            <w:tcW w:w="2008" w:type="dxa"/>
            <w:vAlign w:val="center"/>
          </w:tcPr>
          <w:p>
            <w:pPr>
              <w:jc w:val="right"/>
              <w:rPr>
                <w:sz w:val="22"/>
              </w:rPr>
            </w:pPr>
            <w:r>
              <w:rPr>
                <w:sz w:val="22"/>
              </w:rPr>
              <w:t>159,968,492.21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520" w:type="dxa"/>
            <w:vAlign w:val="bottom"/>
          </w:tcPr>
          <w:p>
            <w:pPr>
              <w:spacing w:line="360" w:lineRule="exact"/>
              <w:rPr>
                <w:sz w:val="22"/>
                <w:lang w:eastAsia="zh-TW"/>
              </w:rPr>
            </w:pPr>
            <w:r>
              <w:rPr>
                <w:rFonts w:hint="eastAsia"/>
                <w:sz w:val="22"/>
                <w:lang w:eastAsia="zh-TW"/>
              </w:rPr>
              <w:t>按法定</w:t>
            </w:r>
            <w:r>
              <w:rPr>
                <w:sz w:val="22"/>
                <w:lang w:eastAsia="zh-TW"/>
              </w:rPr>
              <w:t>/</w:t>
            </w:r>
            <w:r>
              <w:rPr>
                <w:rFonts w:hint="eastAsia"/>
                <w:sz w:val="22"/>
                <w:lang w:eastAsia="zh-TW"/>
              </w:rPr>
              <w:t>適用稅率計算的所得稅費用</w:t>
            </w:r>
          </w:p>
        </w:tc>
        <w:tc>
          <w:tcPr>
            <w:tcW w:w="2008" w:type="dxa"/>
            <w:vAlign w:val="center"/>
          </w:tcPr>
          <w:p>
            <w:pPr>
              <w:jc w:val="right"/>
              <w:rPr>
                <w:sz w:val="22"/>
              </w:rPr>
            </w:pPr>
            <w:r>
              <w:rPr>
                <w:sz w:val="22"/>
              </w:rPr>
              <w:t xml:space="preserve">40,226,081.40 </w:t>
            </w:r>
          </w:p>
        </w:tc>
        <w:tc>
          <w:tcPr>
            <w:tcW w:w="2008" w:type="dxa"/>
            <w:vAlign w:val="center"/>
          </w:tcPr>
          <w:p>
            <w:pPr>
              <w:jc w:val="right"/>
              <w:rPr>
                <w:sz w:val="22"/>
              </w:rPr>
            </w:pPr>
            <w:r>
              <w:rPr>
                <w:sz w:val="22"/>
              </w:rPr>
              <w:t>23,995,273.83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20" w:type="dxa"/>
            <w:vAlign w:val="bottom"/>
          </w:tcPr>
          <w:p>
            <w:pPr>
              <w:spacing w:line="360" w:lineRule="exact"/>
              <w:rPr>
                <w:sz w:val="22"/>
                <w:lang w:eastAsia="zh-TW"/>
              </w:rPr>
            </w:pPr>
            <w:r>
              <w:rPr>
                <w:rFonts w:hint="eastAsia"/>
                <w:sz w:val="22"/>
                <w:lang w:eastAsia="zh-TW"/>
              </w:rPr>
              <w:t>子公司適用不同稅率的影響</w:t>
            </w:r>
          </w:p>
        </w:tc>
        <w:tc>
          <w:tcPr>
            <w:tcW w:w="2008" w:type="dxa"/>
            <w:vAlign w:val="center"/>
          </w:tcPr>
          <w:p>
            <w:pPr>
              <w:jc w:val="right"/>
              <w:rPr>
                <w:sz w:val="22"/>
              </w:rPr>
            </w:pPr>
            <w:r>
              <w:rPr>
                <w:sz w:val="22"/>
              </w:rPr>
              <w:t xml:space="preserve">5,975,952.69 </w:t>
            </w:r>
          </w:p>
        </w:tc>
        <w:tc>
          <w:tcPr>
            <w:tcW w:w="2008" w:type="dxa"/>
            <w:vAlign w:val="center"/>
          </w:tcPr>
          <w:p>
            <w:pPr>
              <w:jc w:val="right"/>
              <w:rPr>
                <w:sz w:val="22"/>
              </w:rPr>
            </w:pPr>
            <w:r>
              <w:rPr>
                <w:sz w:val="22"/>
              </w:rPr>
              <w:t>6,078,879.14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520" w:type="dxa"/>
            <w:vAlign w:val="bottom"/>
          </w:tcPr>
          <w:p>
            <w:pPr>
              <w:spacing w:line="360" w:lineRule="exact"/>
              <w:rPr>
                <w:sz w:val="22"/>
                <w:lang w:eastAsia="zh-TW"/>
              </w:rPr>
            </w:pPr>
            <w:r>
              <w:rPr>
                <w:rFonts w:hint="eastAsia"/>
                <w:sz w:val="22"/>
                <w:lang w:eastAsia="zh-TW"/>
              </w:rPr>
              <w:t>以前年度多計（少計）</w:t>
            </w:r>
          </w:p>
        </w:tc>
        <w:tc>
          <w:tcPr>
            <w:tcW w:w="2008" w:type="dxa"/>
            <w:vAlign w:val="center"/>
          </w:tcPr>
          <w:p>
            <w:pPr>
              <w:jc w:val="right"/>
              <w:rPr>
                <w:sz w:val="22"/>
              </w:rPr>
            </w:pPr>
            <w:r>
              <w:rPr>
                <w:sz w:val="22"/>
              </w:rPr>
              <w:t xml:space="preserve">5,161,597.54 </w:t>
            </w:r>
          </w:p>
        </w:tc>
        <w:tc>
          <w:tcPr>
            <w:tcW w:w="2008" w:type="dxa"/>
            <w:vAlign w:val="center"/>
          </w:tcPr>
          <w:p>
            <w:pPr>
              <w:jc w:val="right"/>
              <w:rPr>
                <w:sz w:val="22"/>
              </w:rPr>
            </w:pPr>
            <w:r>
              <w:rPr>
                <w:sz w:val="22"/>
              </w:rPr>
              <w:t>1,265,246.29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20" w:type="dxa"/>
            <w:vAlign w:val="bottom"/>
          </w:tcPr>
          <w:p>
            <w:pPr>
              <w:spacing w:line="360" w:lineRule="exact"/>
              <w:rPr>
                <w:sz w:val="22"/>
              </w:rPr>
            </w:pPr>
            <w:r>
              <w:rPr>
                <w:rFonts w:hint="eastAsia"/>
                <w:sz w:val="22"/>
              </w:rPr>
              <w:t>非應稅收入的影響</w:t>
            </w:r>
          </w:p>
        </w:tc>
        <w:tc>
          <w:tcPr>
            <w:tcW w:w="2008" w:type="dxa"/>
            <w:vAlign w:val="center"/>
          </w:tcPr>
          <w:p>
            <w:pPr>
              <w:jc w:val="right"/>
              <w:rPr>
                <w:sz w:val="22"/>
              </w:rPr>
            </w:pPr>
            <w:r>
              <w:rPr>
                <w:rFonts w:hint="eastAsia"/>
                <w:sz w:val="22"/>
              </w:rPr>
              <w:t>（</w:t>
            </w:r>
            <w:r>
              <w:rPr>
                <w:sz w:val="22"/>
              </w:rPr>
              <w:t>896,528.06</w:t>
            </w:r>
            <w:r>
              <w:rPr>
                <w:rFonts w:hint="eastAsia"/>
                <w:sz w:val="22"/>
              </w:rPr>
              <w:t>）</w:t>
            </w:r>
            <w:r>
              <w:rPr>
                <w:sz w:val="22"/>
              </w:rPr>
              <w:t xml:space="preserve">  </w:t>
            </w:r>
          </w:p>
        </w:tc>
        <w:tc>
          <w:tcPr>
            <w:tcW w:w="2008" w:type="dxa"/>
            <w:vAlign w:val="center"/>
          </w:tcPr>
          <w:p>
            <w:pPr>
              <w:jc w:val="right"/>
              <w:rPr>
                <w:sz w:val="22"/>
              </w:rPr>
            </w:pPr>
            <w:r>
              <w:rPr>
                <w:rFonts w:hint="eastAsia"/>
                <w:sz w:val="22"/>
              </w:rPr>
              <w:t>（</w:t>
            </w:r>
            <w:r>
              <w:rPr>
                <w:sz w:val="22"/>
              </w:rPr>
              <w:t>1,164,840.23</w:t>
            </w:r>
            <w:r>
              <w:rPr>
                <w:rFonts w:hint="eastAsia"/>
                <w:sz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520" w:type="dxa"/>
            <w:vAlign w:val="bottom"/>
          </w:tcPr>
          <w:p>
            <w:pPr>
              <w:spacing w:line="360" w:lineRule="exact"/>
              <w:rPr>
                <w:sz w:val="22"/>
                <w:lang w:eastAsia="zh-TW"/>
              </w:rPr>
            </w:pPr>
            <w:r>
              <w:rPr>
                <w:rFonts w:hint="eastAsia"/>
                <w:sz w:val="22"/>
                <w:lang w:eastAsia="zh-TW"/>
              </w:rPr>
              <w:t>不可抵扣的成本、費用和損失的影響</w:t>
            </w:r>
          </w:p>
        </w:tc>
        <w:tc>
          <w:tcPr>
            <w:tcW w:w="2008" w:type="dxa"/>
            <w:vAlign w:val="center"/>
          </w:tcPr>
          <w:p>
            <w:pPr>
              <w:jc w:val="right"/>
              <w:rPr>
                <w:sz w:val="22"/>
              </w:rPr>
            </w:pPr>
            <w:r>
              <w:rPr>
                <w:sz w:val="22"/>
              </w:rPr>
              <w:t xml:space="preserve">1,286,097.00  </w:t>
            </w:r>
          </w:p>
        </w:tc>
        <w:tc>
          <w:tcPr>
            <w:tcW w:w="2008" w:type="dxa"/>
            <w:vAlign w:val="center"/>
          </w:tcPr>
          <w:p>
            <w:pPr>
              <w:jc w:val="right"/>
              <w:rPr>
                <w:sz w:val="22"/>
              </w:rPr>
            </w:pPr>
            <w:r>
              <w:rPr>
                <w:sz w:val="22"/>
              </w:rPr>
              <w:t>1,006,828.19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20" w:type="dxa"/>
            <w:vAlign w:val="bottom"/>
          </w:tcPr>
          <w:p>
            <w:pPr>
              <w:spacing w:line="360" w:lineRule="exact"/>
              <w:rPr>
                <w:sz w:val="22"/>
                <w:lang w:eastAsia="zh-TW"/>
              </w:rPr>
            </w:pPr>
            <w:r>
              <w:rPr>
                <w:rFonts w:hint="eastAsia"/>
                <w:sz w:val="22"/>
                <w:lang w:eastAsia="zh-TW"/>
              </w:rPr>
              <w:t>使用前期未確認遞延所得稅資產的可抵扣虧損的影響</w:t>
            </w:r>
          </w:p>
        </w:tc>
        <w:tc>
          <w:tcPr>
            <w:tcW w:w="2008" w:type="dxa"/>
            <w:vAlign w:val="center"/>
          </w:tcPr>
          <w:p>
            <w:pPr>
              <w:jc w:val="right"/>
              <w:rPr>
                <w:sz w:val="22"/>
              </w:rPr>
            </w:pPr>
            <w:r>
              <w:rPr>
                <w:rFonts w:hint="eastAsia"/>
                <w:sz w:val="22"/>
              </w:rPr>
              <w:t>（</w:t>
            </w:r>
            <w:r>
              <w:rPr>
                <w:sz w:val="22"/>
              </w:rPr>
              <w:t>136,015.18</w:t>
            </w:r>
            <w:r>
              <w:rPr>
                <w:rFonts w:hint="eastAsia"/>
                <w:sz w:val="22"/>
              </w:rPr>
              <w:t>）</w:t>
            </w:r>
          </w:p>
        </w:tc>
        <w:tc>
          <w:tcPr>
            <w:tcW w:w="2008" w:type="dxa"/>
            <w:vAlign w:val="center"/>
          </w:tcPr>
          <w:p>
            <w:pPr>
              <w:jc w:val="right"/>
              <w:rPr>
                <w:sz w:val="22"/>
              </w:rPr>
            </w:pPr>
            <w:r>
              <w:rPr>
                <w:sz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50" w:hRule="atLeast"/>
        </w:trPr>
        <w:tc>
          <w:tcPr>
            <w:tcW w:w="4520" w:type="dxa"/>
            <w:vAlign w:val="bottom"/>
          </w:tcPr>
          <w:p>
            <w:pPr>
              <w:spacing w:line="360" w:lineRule="exact"/>
              <w:rPr>
                <w:sz w:val="22"/>
                <w:lang w:eastAsia="zh-TW"/>
              </w:rPr>
            </w:pPr>
            <w:r>
              <w:rPr>
                <w:rFonts w:hint="eastAsia"/>
                <w:sz w:val="22"/>
                <w:lang w:eastAsia="zh-TW"/>
              </w:rPr>
              <w:t>本期未確認遞延所得稅資產的可抵扣暫時性差異或可抵扣虧損的影響</w:t>
            </w:r>
          </w:p>
        </w:tc>
        <w:tc>
          <w:tcPr>
            <w:tcW w:w="2008" w:type="dxa"/>
            <w:tcBorders>
              <w:bottom w:val="nil"/>
            </w:tcBorders>
            <w:vAlign w:val="center"/>
          </w:tcPr>
          <w:p>
            <w:pPr>
              <w:jc w:val="right"/>
              <w:rPr>
                <w:sz w:val="22"/>
              </w:rPr>
            </w:pPr>
            <w:r>
              <w:rPr>
                <w:sz w:val="22"/>
              </w:rPr>
              <w:t>791,593.78</w:t>
            </w:r>
          </w:p>
        </w:tc>
        <w:tc>
          <w:tcPr>
            <w:tcW w:w="2008" w:type="dxa"/>
            <w:vAlign w:val="center"/>
          </w:tcPr>
          <w:p>
            <w:pPr>
              <w:jc w:val="right"/>
              <w:rPr>
                <w:sz w:val="22"/>
              </w:rPr>
            </w:pPr>
            <w:r>
              <w:rPr>
                <w:sz w:val="22"/>
              </w:rPr>
              <w:t>1,235,302.88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20" w:type="dxa"/>
            <w:tcBorders>
              <w:right w:val="nil"/>
            </w:tcBorders>
            <w:vAlign w:val="bottom"/>
          </w:tcPr>
          <w:p>
            <w:pPr>
              <w:spacing w:line="360" w:lineRule="exact"/>
              <w:rPr>
                <w:sz w:val="22"/>
              </w:rPr>
            </w:pPr>
            <w:r>
              <w:rPr>
                <w:rFonts w:hint="eastAsia"/>
                <w:sz w:val="22"/>
              </w:rPr>
              <w:t>加计扣除费用</w:t>
            </w:r>
          </w:p>
        </w:tc>
        <w:tc>
          <w:tcPr>
            <w:tcW w:w="2008" w:type="dxa"/>
            <w:tcBorders>
              <w:top w:val="nil"/>
              <w:left w:val="nil"/>
              <w:bottom w:val="nil"/>
              <w:right w:val="nil"/>
            </w:tcBorders>
            <w:vAlign w:val="top"/>
          </w:tcPr>
          <w:p>
            <w:pPr>
              <w:jc w:val="right"/>
              <w:rPr>
                <w:sz w:val="22"/>
              </w:rPr>
            </w:pPr>
            <w:r>
              <w:rPr>
                <w:rFonts w:hint="eastAsia"/>
                <w:sz w:val="22"/>
              </w:rPr>
              <w:t>（</w:t>
            </w:r>
            <w:r>
              <w:rPr>
                <w:sz w:val="22"/>
              </w:rPr>
              <w:t>5,483,655.06</w:t>
            </w:r>
            <w:r>
              <w:rPr>
                <w:rFonts w:hint="eastAsia"/>
                <w:sz w:val="22"/>
              </w:rPr>
              <w:t>）</w:t>
            </w:r>
          </w:p>
        </w:tc>
        <w:tc>
          <w:tcPr>
            <w:tcW w:w="2008" w:type="dxa"/>
            <w:tcBorders>
              <w:left w:val="nil"/>
            </w:tcBorders>
            <w:vAlign w:val="center"/>
          </w:tcPr>
          <w:p>
            <w:pPr>
              <w:jc w:val="right"/>
              <w:rPr>
                <w:sz w:val="22"/>
              </w:rPr>
            </w:pPr>
            <w:r>
              <w:rPr>
                <w:sz w:val="22"/>
              </w:rPr>
              <w:t xml:space="preserve">(5,495,471.76)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20" w:type="dxa"/>
            <w:vAlign w:val="bottom"/>
          </w:tcPr>
          <w:p>
            <w:pPr>
              <w:spacing w:line="360" w:lineRule="exact"/>
              <w:rPr>
                <w:sz w:val="22"/>
              </w:rPr>
            </w:pPr>
            <w:r>
              <w:rPr>
                <w:rFonts w:hint="eastAsia"/>
                <w:b/>
                <w:sz w:val="22"/>
              </w:rPr>
              <w:t>所得稅費用</w:t>
            </w:r>
          </w:p>
        </w:tc>
        <w:tc>
          <w:tcPr>
            <w:tcW w:w="2008" w:type="dxa"/>
            <w:tcBorders>
              <w:top w:val="nil"/>
              <w:bottom w:val="double" w:color="auto" w:sz="4" w:space="0"/>
            </w:tcBorders>
            <w:vAlign w:val="center"/>
          </w:tcPr>
          <w:p>
            <w:pPr>
              <w:pStyle w:val="29"/>
              <w:spacing w:line="240" w:lineRule="exact"/>
              <w:jc w:val="right"/>
              <w:rPr>
                <w:rFonts w:ascii="Times New Roman" w:hAnsi="Times New Roman"/>
                <w:b/>
                <w:sz w:val="22"/>
              </w:rPr>
            </w:pPr>
            <w:r>
              <w:rPr>
                <w:rFonts w:ascii="Times New Roman" w:hAnsi="Times New Roman"/>
                <w:b/>
                <w:sz w:val="22"/>
              </w:rPr>
              <w:t>46,925,124.11</w:t>
            </w:r>
          </w:p>
        </w:tc>
        <w:tc>
          <w:tcPr>
            <w:tcW w:w="2008" w:type="dxa"/>
            <w:vAlign w:val="bottom"/>
          </w:tcPr>
          <w:p>
            <w:pPr>
              <w:pStyle w:val="29"/>
              <w:pBdr>
                <w:bottom w:val="double" w:color="auto" w:sz="4" w:space="1"/>
              </w:pBdr>
              <w:spacing w:line="240" w:lineRule="exact"/>
              <w:jc w:val="right"/>
              <w:rPr>
                <w:rFonts w:ascii="Times New Roman" w:hAnsi="Times New Roman"/>
                <w:b/>
                <w:sz w:val="22"/>
              </w:rPr>
            </w:pPr>
            <w:r>
              <w:rPr>
                <w:rFonts w:ascii="Times New Roman" w:hAnsi="Times New Roman"/>
                <w:b/>
                <w:sz w:val="22"/>
              </w:rPr>
              <w:t>26,921,218.34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20" w:type="dxa"/>
            <w:vAlign w:val="center"/>
          </w:tcPr>
          <w:p>
            <w:pPr>
              <w:jc w:val="center"/>
              <w:rPr>
                <w:sz w:val="22"/>
              </w:rPr>
            </w:pPr>
          </w:p>
        </w:tc>
        <w:tc>
          <w:tcPr>
            <w:tcW w:w="2008" w:type="dxa"/>
            <w:tcBorders>
              <w:top w:val="double" w:color="auto" w:sz="4" w:space="0"/>
            </w:tcBorders>
            <w:vAlign w:val="center"/>
          </w:tcPr>
          <w:p>
            <w:pPr>
              <w:jc w:val="right"/>
              <w:rPr>
                <w:b/>
                <w:sz w:val="22"/>
                <w:u w:val="double"/>
              </w:rPr>
            </w:pPr>
          </w:p>
        </w:tc>
        <w:tc>
          <w:tcPr>
            <w:tcW w:w="2008" w:type="dxa"/>
            <w:vAlign w:val="center"/>
          </w:tcPr>
          <w:p/>
        </w:tc>
      </w:tr>
    </w:tbl>
    <w:p>
      <w:pPr>
        <w:spacing w:line="360" w:lineRule="exact"/>
        <w:rPr>
          <w:sz w:val="22"/>
          <w:szCs w:val="22"/>
        </w:rPr>
      </w:pPr>
    </w:p>
    <w:p>
      <w:pPr>
        <w:numPr>
          <w:ilvl w:val="0"/>
          <w:numId w:val="4"/>
        </w:numPr>
        <w:autoSpaceDE w:val="0"/>
        <w:autoSpaceDN w:val="0"/>
        <w:adjustRightInd w:val="0"/>
        <w:jc w:val="left"/>
        <w:rPr>
          <w:b/>
          <w:sz w:val="22"/>
        </w:rPr>
      </w:pPr>
      <w:r>
        <w:rPr>
          <w:rFonts w:hint="eastAsia"/>
          <w:b/>
          <w:sz w:val="22"/>
        </w:rPr>
        <w:t>每股盈利</w:t>
      </w:r>
    </w:p>
    <w:p>
      <w:pPr>
        <w:autoSpaceDE w:val="0"/>
        <w:autoSpaceDN w:val="0"/>
        <w:adjustRightInd w:val="0"/>
        <w:jc w:val="left"/>
        <w:rPr>
          <w:b/>
          <w:sz w:val="22"/>
        </w:rPr>
      </w:pPr>
    </w:p>
    <w:p>
      <w:pPr>
        <w:ind w:left="315" w:leftChars="150"/>
        <w:rPr>
          <w:sz w:val="22"/>
          <w:lang w:eastAsia="zh-TW"/>
        </w:rPr>
      </w:pPr>
      <w:r>
        <w:rPr>
          <w:rFonts w:hint="eastAsia"/>
          <w:sz w:val="22"/>
          <w:lang w:eastAsia="zh-TW"/>
        </w:rPr>
        <w:t>每股基本盈利乃根據本公司所有人應占本集團本期溢利人民幣</w:t>
      </w:r>
      <w:r>
        <w:rPr>
          <w:sz w:val="22"/>
          <w:lang w:eastAsia="zh-TW"/>
        </w:rPr>
        <w:t>209,591,907.23元</w:t>
      </w:r>
      <w:r>
        <w:rPr>
          <w:rFonts w:hint="eastAsia"/>
          <w:sz w:val="22"/>
          <w:lang w:eastAsia="zh-TW"/>
        </w:rPr>
        <w:t>（二零一六年：人民幣</w:t>
      </w:r>
      <w:r>
        <w:rPr>
          <w:sz w:val="22"/>
          <w:lang w:eastAsia="zh-TW"/>
        </w:rPr>
        <w:t>122,271,549.68</w:t>
      </w:r>
      <w:r>
        <w:rPr>
          <w:rFonts w:hint="eastAsia"/>
          <w:sz w:val="22"/>
          <w:lang w:eastAsia="zh-TW"/>
        </w:rPr>
        <w:t>元）及按期內已發行股份之加權平均數</w:t>
      </w:r>
      <w:r>
        <w:rPr>
          <w:sz w:val="22"/>
          <w:lang w:eastAsia="zh-TW"/>
        </w:rPr>
        <w:t>460,819,595</w:t>
      </w:r>
      <w:r>
        <w:rPr>
          <w:rFonts w:hint="eastAsia"/>
          <w:sz w:val="22"/>
          <w:lang w:eastAsia="zh-TW"/>
        </w:rPr>
        <w:t>股（二零一六年：</w:t>
      </w:r>
      <w:r>
        <w:rPr>
          <w:sz w:val="22"/>
          <w:lang w:eastAsia="zh-TW"/>
        </w:rPr>
        <w:t>457,312,830</w:t>
      </w:r>
      <w:r>
        <w:rPr>
          <w:rFonts w:hint="eastAsia"/>
          <w:sz w:val="22"/>
          <w:lang w:eastAsia="zh-TW"/>
        </w:rPr>
        <w:t>股）計算。</w:t>
      </w:r>
    </w:p>
    <w:p>
      <w:pPr>
        <w:ind w:left="315" w:leftChars="150"/>
        <w:rPr>
          <w:sz w:val="22"/>
          <w:lang w:eastAsia="zh-TW"/>
        </w:rPr>
      </w:pPr>
    </w:p>
    <w:tbl>
      <w:tblPr>
        <w:tblW w:w="8534" w:type="dxa"/>
        <w:tblInd w:w="5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42" w:type="dxa"/>
          <w:right w:w="142" w:type="dxa"/>
        </w:tblCellMar>
      </w:tblPr>
      <w:tblGrid>
        <w:gridCol w:w="4522"/>
        <w:gridCol w:w="2006"/>
        <w:gridCol w:w="20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42" w:type="dxa"/>
            <w:right w:w="142" w:type="dxa"/>
          </w:tblCellMar>
        </w:tblPrEx>
        <w:trPr>
          <w:cantSplit/>
          <w:tblHeader/>
        </w:trPr>
        <w:tc>
          <w:tcPr>
            <w:tcW w:w="4522" w:type="dxa"/>
            <w:vAlign w:val="top"/>
          </w:tcPr>
          <w:p>
            <w:pPr>
              <w:pStyle w:val="29"/>
              <w:spacing w:line="240" w:lineRule="exact"/>
              <w:ind w:left="143" w:hanging="143" w:hangingChars="65"/>
              <w:jc w:val="center"/>
              <w:rPr>
                <w:rFonts w:ascii="Times New Roman" w:hAnsi="Times New Roman"/>
                <w:kern w:val="2"/>
                <w:sz w:val="22"/>
                <w:lang w:eastAsia="zh-TW"/>
              </w:rPr>
            </w:pPr>
          </w:p>
        </w:tc>
        <w:tc>
          <w:tcPr>
            <w:tcW w:w="2006" w:type="dxa"/>
            <w:vAlign w:val="top"/>
          </w:tcPr>
          <w:p>
            <w:pPr>
              <w:pBdr>
                <w:bottom w:val="single" w:color="auto" w:sz="4" w:space="0"/>
              </w:pBdr>
              <w:spacing w:line="240" w:lineRule="exact"/>
              <w:jc w:val="center"/>
              <w:rPr>
                <w:sz w:val="22"/>
                <w:u w:val="single"/>
              </w:rPr>
            </w:pPr>
            <w:r>
              <w:rPr>
                <w:rFonts w:hint="eastAsia"/>
                <w:sz w:val="22"/>
              </w:rPr>
              <w:t>二零一七年十二月三十一日</w:t>
            </w:r>
          </w:p>
        </w:tc>
        <w:tc>
          <w:tcPr>
            <w:tcW w:w="2006" w:type="dxa"/>
            <w:vAlign w:val="top"/>
          </w:tcPr>
          <w:p>
            <w:pPr>
              <w:pBdr>
                <w:bottom w:val="single" w:color="auto" w:sz="4" w:space="0"/>
              </w:pBdr>
              <w:spacing w:line="240" w:lineRule="exact"/>
              <w:jc w:val="center"/>
              <w:rPr>
                <w:sz w:val="22"/>
              </w:rPr>
            </w:pPr>
            <w:r>
              <w:rPr>
                <w:rFonts w:hint="eastAsia"/>
                <w:sz w:val="22"/>
              </w:rPr>
              <w:t>二零一六年</w:t>
            </w:r>
          </w:p>
          <w:p>
            <w:pPr>
              <w:pBdr>
                <w:bottom w:val="single" w:color="auto" w:sz="4" w:space="0"/>
              </w:pBdr>
              <w:spacing w:line="240" w:lineRule="exact"/>
              <w:jc w:val="center"/>
              <w:rPr>
                <w:sz w:val="22"/>
              </w:rPr>
            </w:pPr>
            <w:r>
              <w:rPr>
                <w:rFonts w:hint="eastAsia"/>
                <w:sz w:val="22"/>
              </w:rPr>
              <w:t>十二月三十一日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42" w:type="dxa"/>
            <w:right w:w="142" w:type="dxa"/>
          </w:tblCellMar>
        </w:tblPrEx>
        <w:trPr>
          <w:cantSplit/>
          <w:tblHeader/>
        </w:trPr>
        <w:tc>
          <w:tcPr>
            <w:tcW w:w="4522" w:type="dxa"/>
            <w:vAlign w:val="top"/>
          </w:tcPr>
          <w:p>
            <w:pPr>
              <w:pStyle w:val="29"/>
              <w:spacing w:line="240" w:lineRule="exact"/>
              <w:ind w:left="143" w:hanging="143" w:hangingChars="65"/>
              <w:jc w:val="center"/>
              <w:rPr>
                <w:rFonts w:ascii="Times New Roman" w:hAnsi="Times New Roman"/>
                <w:kern w:val="2"/>
                <w:sz w:val="22"/>
              </w:rPr>
            </w:pPr>
          </w:p>
        </w:tc>
        <w:tc>
          <w:tcPr>
            <w:tcW w:w="2006" w:type="dxa"/>
            <w:vAlign w:val="top"/>
          </w:tcPr>
          <w:p>
            <w:pPr>
              <w:spacing w:line="240" w:lineRule="exact"/>
              <w:jc w:val="center"/>
              <w:rPr>
                <w:sz w:val="22"/>
              </w:rPr>
            </w:pPr>
            <w:r>
              <w:rPr>
                <w:rFonts w:hint="eastAsia"/>
                <w:sz w:val="22"/>
              </w:rPr>
              <w:t>人民幣元</w:t>
            </w:r>
          </w:p>
        </w:tc>
        <w:tc>
          <w:tcPr>
            <w:tcW w:w="2006" w:type="dxa"/>
            <w:vAlign w:val="top"/>
          </w:tcPr>
          <w:p>
            <w:pPr>
              <w:spacing w:line="240" w:lineRule="exact"/>
              <w:jc w:val="center"/>
              <w:rPr>
                <w:sz w:val="22"/>
              </w:rPr>
            </w:pPr>
            <w:r>
              <w:rPr>
                <w:rFonts w:hint="eastAsia"/>
                <w:sz w:val="22"/>
              </w:rPr>
              <w:t>人民幣元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42" w:type="dxa"/>
            <w:right w:w="142" w:type="dxa"/>
          </w:tblCellMar>
        </w:tblPrEx>
        <w:trPr>
          <w:cantSplit/>
          <w:tblHeader/>
        </w:trPr>
        <w:tc>
          <w:tcPr>
            <w:tcW w:w="4522" w:type="dxa"/>
            <w:vAlign w:val="bottom"/>
          </w:tcPr>
          <w:p>
            <w:pPr>
              <w:pStyle w:val="29"/>
              <w:spacing w:line="240" w:lineRule="exact"/>
              <w:ind w:left="143" w:hanging="143" w:hangingChars="65"/>
              <w:jc w:val="both"/>
              <w:rPr>
                <w:rFonts w:ascii="Times New Roman" w:hAnsi="Times New Roman"/>
                <w:kern w:val="2"/>
                <w:sz w:val="22"/>
                <w:lang w:eastAsia="zh-TW"/>
              </w:rPr>
            </w:pPr>
            <w:r>
              <w:rPr>
                <w:rFonts w:hint="eastAsia" w:ascii="Times New Roman" w:hAnsi="Times New Roman"/>
                <w:kern w:val="2"/>
                <w:sz w:val="22"/>
                <w:lang w:eastAsia="zh-TW"/>
              </w:rPr>
              <w:t>歸屬於</w:t>
            </w:r>
            <w:r>
              <w:rPr>
                <w:rFonts w:hint="eastAsia" w:ascii="Times New Roman" w:hAnsi="Times New Roman"/>
                <w:kern w:val="2"/>
                <w:sz w:val="22"/>
                <w:szCs w:val="22"/>
                <w:lang w:eastAsia="zh-TW"/>
              </w:rPr>
              <w:t>上市公司</w:t>
            </w:r>
            <w:r>
              <w:rPr>
                <w:rFonts w:hint="eastAsia" w:ascii="Times New Roman" w:hAnsi="Times New Roman"/>
                <w:kern w:val="2"/>
                <w:sz w:val="22"/>
                <w:lang w:eastAsia="zh-TW"/>
              </w:rPr>
              <w:t>普通股的合併利潤</w:t>
            </w:r>
          </w:p>
        </w:tc>
        <w:tc>
          <w:tcPr>
            <w:tcW w:w="2006" w:type="dxa"/>
            <w:vAlign w:val="bottom"/>
          </w:tcPr>
          <w:p>
            <w:pPr>
              <w:jc w:val="right"/>
              <w:rPr>
                <w:sz w:val="22"/>
              </w:rPr>
            </w:pPr>
            <w:r>
              <w:rPr>
                <w:sz w:val="22"/>
              </w:rPr>
              <w:t>209,591,907.23</w:t>
            </w:r>
          </w:p>
        </w:tc>
        <w:tc>
          <w:tcPr>
            <w:tcW w:w="2006" w:type="dxa"/>
            <w:vAlign w:val="bottom"/>
          </w:tcPr>
          <w:p>
            <w:pPr>
              <w:jc w:val="right"/>
              <w:rPr>
                <w:sz w:val="22"/>
              </w:rPr>
            </w:pPr>
            <w:r>
              <w:rPr>
                <w:sz w:val="22"/>
              </w:rPr>
              <w:t>122,271,549.68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cantSplit/>
          <w:tblHeader/>
        </w:trPr>
        <w:tc>
          <w:tcPr>
            <w:tcW w:w="4522" w:type="dxa"/>
            <w:vAlign w:val="bottom"/>
          </w:tcPr>
          <w:p>
            <w:pPr>
              <w:pStyle w:val="29"/>
              <w:spacing w:line="240" w:lineRule="exact"/>
              <w:ind w:left="143" w:hanging="143" w:hangingChars="65"/>
              <w:jc w:val="both"/>
              <w:rPr>
                <w:rFonts w:ascii="Times New Roman" w:hAnsi="Times New Roman"/>
                <w:kern w:val="2"/>
                <w:sz w:val="22"/>
                <w:lang w:eastAsia="zh-TW"/>
              </w:rPr>
            </w:pPr>
            <w:r>
              <w:rPr>
                <w:rFonts w:hint="eastAsia" w:ascii="Times New Roman" w:hAnsi="Times New Roman"/>
                <w:kern w:val="2"/>
                <w:sz w:val="22"/>
                <w:lang w:eastAsia="zh-TW"/>
              </w:rPr>
              <w:t>本公司發行在外</w:t>
            </w:r>
            <w:r>
              <w:rPr>
                <w:rFonts w:hint="eastAsia" w:ascii="Times New Roman" w:hAnsi="Times New Roman"/>
                <w:kern w:val="2"/>
                <w:sz w:val="22"/>
                <w:szCs w:val="22"/>
                <w:lang w:eastAsia="zh-TW"/>
              </w:rPr>
              <w:t>普通股</w:t>
            </w:r>
            <w:r>
              <w:rPr>
                <w:rFonts w:hint="eastAsia" w:ascii="Times New Roman" w:hAnsi="Times New Roman"/>
                <w:kern w:val="2"/>
                <w:sz w:val="22"/>
                <w:lang w:eastAsia="zh-TW"/>
              </w:rPr>
              <w:t>的加權平均數</w:t>
            </w:r>
          </w:p>
        </w:tc>
        <w:tc>
          <w:tcPr>
            <w:tcW w:w="2006" w:type="dxa"/>
            <w:vAlign w:val="bottom"/>
          </w:tcPr>
          <w:p>
            <w:pPr>
              <w:jc w:val="right"/>
              <w:rPr>
                <w:sz w:val="22"/>
              </w:rPr>
            </w:pPr>
            <w:r>
              <w:rPr>
                <w:sz w:val="22"/>
              </w:rPr>
              <w:t>460,819,595</w:t>
            </w:r>
          </w:p>
        </w:tc>
        <w:tc>
          <w:tcPr>
            <w:tcW w:w="2006" w:type="dxa"/>
            <w:vAlign w:val="bottom"/>
          </w:tcPr>
          <w:p>
            <w:pPr>
              <w:jc w:val="right"/>
              <w:rPr>
                <w:sz w:val="22"/>
              </w:rPr>
            </w:pPr>
            <w:r>
              <w:rPr>
                <w:sz w:val="22"/>
              </w:rPr>
              <w:t>457,312,830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42" w:type="dxa"/>
            <w:right w:w="142" w:type="dxa"/>
          </w:tblCellMar>
        </w:tblPrEx>
        <w:trPr>
          <w:cantSplit/>
          <w:tblHeader/>
        </w:trPr>
        <w:tc>
          <w:tcPr>
            <w:tcW w:w="4522" w:type="dxa"/>
            <w:vAlign w:val="bottom"/>
          </w:tcPr>
          <w:p/>
        </w:tc>
        <w:tc>
          <w:tcPr>
            <w:tcW w:w="2006" w:type="dxa"/>
            <w:vAlign w:val="bottom"/>
          </w:tcPr>
          <w:p>
            <w:pPr>
              <w:jc w:val="right"/>
              <w:rPr>
                <w:sz w:val="22"/>
              </w:rPr>
            </w:pPr>
          </w:p>
        </w:tc>
        <w:tc>
          <w:tcPr>
            <w:tcW w:w="2006" w:type="dxa"/>
            <w:vAlign w:val="bottom"/>
          </w:tcPr>
          <w:p>
            <w:pPr>
              <w:jc w:val="right"/>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cantSplit/>
          <w:tblHeader/>
        </w:trPr>
        <w:tc>
          <w:tcPr>
            <w:tcW w:w="4522" w:type="dxa"/>
            <w:vAlign w:val="bottom"/>
          </w:tcPr>
          <w:p>
            <w:r>
              <w:rPr>
                <w:rFonts w:hint="eastAsia"/>
              </w:rPr>
              <w:t>基本每股收益</w:t>
            </w:r>
            <w:r>
              <w:t>(</w:t>
            </w:r>
            <w:r>
              <w:rPr>
                <w:rFonts w:hint="eastAsia"/>
              </w:rPr>
              <w:t>元</w:t>
            </w:r>
            <w:r>
              <w:t>/</w:t>
            </w:r>
            <w:r>
              <w:rPr>
                <w:rFonts w:hint="eastAsia"/>
              </w:rPr>
              <w:t>股</w:t>
            </w:r>
            <w:r>
              <w:t>)</w:t>
            </w:r>
          </w:p>
        </w:tc>
        <w:tc>
          <w:tcPr>
            <w:tcW w:w="2006" w:type="dxa"/>
            <w:vAlign w:val="bottom"/>
          </w:tcPr>
          <w:p>
            <w:pPr>
              <w:pBdr>
                <w:bottom w:val="single" w:color="auto" w:sz="4" w:space="0"/>
              </w:pBdr>
              <w:spacing w:line="240" w:lineRule="exact"/>
              <w:jc w:val="right"/>
              <w:rPr>
                <w:sz w:val="22"/>
              </w:rPr>
            </w:pPr>
            <w:r>
              <w:rPr>
                <w:sz w:val="22"/>
              </w:rPr>
              <w:t>0.45</w:t>
            </w:r>
          </w:p>
        </w:tc>
        <w:tc>
          <w:tcPr>
            <w:tcW w:w="2006" w:type="dxa"/>
            <w:vAlign w:val="bottom"/>
          </w:tcPr>
          <w:p>
            <w:pPr>
              <w:pBdr>
                <w:bottom w:val="single" w:color="auto" w:sz="4" w:space="0"/>
              </w:pBdr>
              <w:spacing w:line="240" w:lineRule="exact"/>
              <w:jc w:val="right"/>
              <w:rPr>
                <w:sz w:val="22"/>
              </w:rPr>
            </w:pPr>
            <w:r>
              <w:rPr>
                <w:sz w:val="22"/>
              </w:rPr>
              <w:t>0.27</w:t>
            </w:r>
          </w:p>
        </w:tc>
      </w:tr>
    </w:tbl>
    <w:p>
      <w:pPr>
        <w:autoSpaceDE w:val="0"/>
        <w:autoSpaceDN w:val="0"/>
        <w:adjustRightInd w:val="0"/>
        <w:jc w:val="left"/>
        <w:rPr>
          <w:b/>
          <w:sz w:val="22"/>
        </w:rPr>
      </w:pPr>
    </w:p>
    <w:p>
      <w:pPr>
        <w:autoSpaceDE w:val="0"/>
        <w:autoSpaceDN w:val="0"/>
        <w:adjustRightInd w:val="0"/>
        <w:ind w:left="315" w:leftChars="150"/>
        <w:rPr>
          <w:sz w:val="22"/>
          <w:lang w:eastAsia="zh-TW"/>
        </w:rPr>
      </w:pPr>
      <w:r>
        <w:rPr>
          <w:rFonts w:hint="eastAsia"/>
          <w:sz w:val="22"/>
          <w:lang w:eastAsia="zh-TW"/>
        </w:rPr>
        <w:t>由於截至二零一七年十二月三十一日止年度及二零一六年十二月三十一日止年度均無可能造成攤薄影響之事項，故每股基本盈利與每股攤薄盈利相同。</w:t>
      </w:r>
    </w:p>
    <w:p>
      <w:pPr>
        <w:autoSpaceDE w:val="0"/>
        <w:autoSpaceDN w:val="0"/>
        <w:adjustRightInd w:val="0"/>
        <w:ind w:left="315" w:leftChars="150"/>
        <w:rPr>
          <w:sz w:val="22"/>
          <w:lang w:eastAsia="zh-TW"/>
        </w:rPr>
      </w:pPr>
    </w:p>
    <w:p>
      <w:pPr>
        <w:autoSpaceDE w:val="0"/>
        <w:autoSpaceDN w:val="0"/>
        <w:adjustRightInd w:val="0"/>
        <w:ind w:left="315" w:leftChars="150"/>
        <w:rPr>
          <w:sz w:val="22"/>
          <w:lang w:eastAsia="zh-TW"/>
        </w:rPr>
      </w:pPr>
    </w:p>
    <w:p>
      <w:pPr>
        <w:numPr>
          <w:ilvl w:val="0"/>
          <w:numId w:val="4"/>
        </w:numPr>
        <w:autoSpaceDE w:val="0"/>
        <w:autoSpaceDN w:val="0"/>
        <w:adjustRightInd w:val="0"/>
        <w:jc w:val="left"/>
        <w:rPr>
          <w:b/>
          <w:sz w:val="22"/>
          <w:lang w:eastAsia="zh-TW"/>
        </w:rPr>
      </w:pPr>
      <w:r>
        <w:rPr>
          <w:rFonts w:hint="eastAsia"/>
          <w:b/>
          <w:sz w:val="22"/>
          <w:lang w:eastAsia="zh-TW"/>
        </w:rPr>
        <w:t>股息及資本公積金轉增股本</w:t>
      </w:r>
    </w:p>
    <w:bookmarkEnd w:id="5"/>
    <w:bookmarkEnd w:id="6"/>
    <w:tbl>
      <w:tblPr>
        <w:tblW w:w="906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5670"/>
        <w:gridCol w:w="1792"/>
        <w:gridCol w:w="16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5670" w:type="dxa"/>
            <w:vAlign w:val="top"/>
          </w:tcPr>
          <w:p>
            <w:pPr>
              <w:spacing w:line="240" w:lineRule="exact"/>
              <w:ind w:left="123" w:hanging="123" w:hangingChars="56"/>
              <w:jc w:val="center"/>
              <w:rPr>
                <w:color w:val="000000"/>
                <w:sz w:val="22"/>
                <w:lang w:eastAsia="zh-TW"/>
              </w:rPr>
            </w:pPr>
          </w:p>
        </w:tc>
        <w:tc>
          <w:tcPr>
            <w:tcW w:w="1792" w:type="dxa"/>
            <w:vAlign w:val="top"/>
          </w:tcPr>
          <w:p>
            <w:pPr>
              <w:pStyle w:val="87"/>
              <w:jc w:val="center"/>
              <w:rPr>
                <w:color w:val="000000"/>
                <w:sz w:val="22"/>
              </w:rPr>
            </w:pPr>
            <w:r>
              <w:rPr>
                <w:rFonts w:hint="eastAsia"/>
                <w:color w:val="000000"/>
                <w:sz w:val="22"/>
              </w:rPr>
              <w:t>二零一七年</w:t>
            </w:r>
          </w:p>
        </w:tc>
        <w:tc>
          <w:tcPr>
            <w:tcW w:w="1602" w:type="dxa"/>
            <w:vAlign w:val="top"/>
          </w:tcPr>
          <w:p>
            <w:pPr>
              <w:pStyle w:val="87"/>
              <w:jc w:val="center"/>
              <w:rPr>
                <w:color w:val="000000"/>
                <w:sz w:val="22"/>
              </w:rPr>
            </w:pPr>
            <w:r>
              <w:rPr>
                <w:rFonts w:hint="eastAsia"/>
                <w:color w:val="000000"/>
                <w:sz w:val="22"/>
              </w:rPr>
              <w:t>二零一六年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5670" w:type="dxa"/>
            <w:vAlign w:val="top"/>
          </w:tcPr>
          <w:p>
            <w:pPr>
              <w:spacing w:line="240" w:lineRule="exact"/>
              <w:ind w:left="123" w:hanging="123" w:hangingChars="56"/>
              <w:jc w:val="center"/>
              <w:rPr>
                <w:color w:val="000000"/>
                <w:sz w:val="22"/>
              </w:rPr>
            </w:pPr>
          </w:p>
        </w:tc>
        <w:tc>
          <w:tcPr>
            <w:tcW w:w="1792" w:type="dxa"/>
            <w:vAlign w:val="bottom"/>
          </w:tcPr>
          <w:p>
            <w:pPr>
              <w:spacing w:line="240" w:lineRule="exact"/>
              <w:jc w:val="center"/>
              <w:rPr>
                <w:color w:val="000000"/>
                <w:sz w:val="22"/>
              </w:rPr>
            </w:pPr>
            <w:r>
              <w:rPr>
                <w:rFonts w:hint="eastAsia"/>
                <w:color w:val="000000"/>
                <w:sz w:val="22"/>
              </w:rPr>
              <w:t>人民幣元</w:t>
            </w:r>
          </w:p>
        </w:tc>
        <w:tc>
          <w:tcPr>
            <w:tcW w:w="1602" w:type="dxa"/>
            <w:vAlign w:val="bottom"/>
          </w:tcPr>
          <w:p>
            <w:pPr>
              <w:spacing w:line="240" w:lineRule="exact"/>
              <w:jc w:val="center"/>
              <w:rPr>
                <w:color w:val="000000"/>
                <w:sz w:val="22"/>
              </w:rPr>
            </w:pPr>
            <w:r>
              <w:rPr>
                <w:rFonts w:hint="eastAsia"/>
                <w:color w:val="000000"/>
                <w:sz w:val="22"/>
              </w:rPr>
              <w:t>人民幣元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5670" w:type="dxa"/>
            <w:vAlign w:val="bottom"/>
          </w:tcPr>
          <w:p>
            <w:pPr>
              <w:spacing w:line="240" w:lineRule="exact"/>
              <w:ind w:left="123" w:hanging="123" w:hangingChars="56"/>
              <w:rPr>
                <w:rFonts w:ascii="宋体" w:hAnsi="宋体"/>
                <w:color w:val="000000"/>
                <w:sz w:val="22"/>
                <w:lang w:eastAsia="zh-TW"/>
              </w:rPr>
            </w:pPr>
            <w:r>
              <w:rPr>
                <w:rFonts w:hint="eastAsia" w:ascii="宋体" w:hAnsi="宋体"/>
                <w:color w:val="000000"/>
                <w:sz w:val="22"/>
                <w:lang w:eastAsia="zh-TW"/>
              </w:rPr>
              <w:t>於年內計入當期財務報表確認為分派之股息：</w:t>
            </w:r>
          </w:p>
        </w:tc>
        <w:tc>
          <w:tcPr>
            <w:tcW w:w="1792" w:type="dxa"/>
            <w:vAlign w:val="top"/>
          </w:tcPr>
          <w:p>
            <w:pPr>
              <w:pStyle w:val="106"/>
              <w:tabs>
                <w:tab w:val="clear" w:pos="2835"/>
              </w:tabs>
              <w:spacing w:after="0" w:line="240" w:lineRule="exact"/>
              <w:jc w:val="right"/>
              <w:rPr>
                <w:rFonts w:ascii="宋体" w:hAnsi="宋体" w:eastAsia="宋体"/>
                <w:color w:val="000000"/>
                <w:kern w:val="2"/>
                <w:sz w:val="22"/>
                <w:lang w:eastAsia="zh-TW"/>
              </w:rPr>
            </w:pPr>
          </w:p>
        </w:tc>
        <w:tc>
          <w:tcPr>
            <w:tcW w:w="1602" w:type="dxa"/>
            <w:vAlign w:val="top"/>
          </w:tcPr>
          <w:p>
            <w:pPr>
              <w:pStyle w:val="106"/>
              <w:tabs>
                <w:tab w:val="clear" w:pos="2835"/>
              </w:tabs>
              <w:spacing w:after="0" w:line="240" w:lineRule="exact"/>
              <w:jc w:val="right"/>
              <w:rPr>
                <w:rFonts w:ascii="宋体" w:hAnsi="宋体" w:eastAsia="宋体"/>
                <w:color w:val="000000"/>
                <w:kern w:val="2"/>
                <w:sz w:val="22"/>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5670" w:type="dxa"/>
            <w:vAlign w:val="bottom"/>
          </w:tcPr>
          <w:p>
            <w:pPr>
              <w:spacing w:line="240" w:lineRule="exact"/>
              <w:ind w:left="123" w:hanging="123" w:hangingChars="56"/>
              <w:rPr>
                <w:rFonts w:ascii="宋体" w:hAnsi="宋体"/>
                <w:color w:val="000000"/>
                <w:sz w:val="22"/>
                <w:lang w:eastAsia="zh-TW"/>
              </w:rPr>
            </w:pPr>
            <w:r>
              <w:rPr>
                <w:rFonts w:hint="eastAsia" w:ascii="宋体" w:hAnsi="宋体"/>
                <w:color w:val="000000"/>
                <w:sz w:val="22"/>
                <w:lang w:eastAsia="zh-TW"/>
              </w:rPr>
              <w:t>二零一五年末期股息：每股人民幣</w:t>
            </w:r>
            <w:r>
              <w:rPr>
                <w:rFonts w:ascii="宋体" w:hAnsi="宋体"/>
                <w:color w:val="000000"/>
                <w:sz w:val="22"/>
                <w:lang w:eastAsia="zh-TW"/>
              </w:rPr>
              <w:t>0.02元</w:t>
            </w:r>
          </w:p>
        </w:tc>
        <w:tc>
          <w:tcPr>
            <w:tcW w:w="1792" w:type="dxa"/>
            <w:vAlign w:val="top"/>
          </w:tcPr>
          <w:p>
            <w:pPr>
              <w:pStyle w:val="106"/>
              <w:tabs>
                <w:tab w:val="clear" w:pos="2835"/>
              </w:tabs>
              <w:spacing w:after="0" w:line="240" w:lineRule="exact"/>
              <w:jc w:val="right"/>
              <w:rPr>
                <w:rFonts w:ascii="宋体" w:hAnsi="宋体" w:eastAsia="宋体"/>
                <w:color w:val="000000"/>
                <w:kern w:val="2"/>
                <w:sz w:val="22"/>
              </w:rPr>
            </w:pPr>
            <w:r>
              <w:rPr>
                <w:rFonts w:ascii="宋体" w:hAnsi="宋体" w:eastAsia="宋体"/>
                <w:color w:val="000000"/>
                <w:sz w:val="22"/>
              </w:rPr>
              <w:t>-</w:t>
            </w:r>
          </w:p>
        </w:tc>
        <w:tc>
          <w:tcPr>
            <w:tcW w:w="1602" w:type="dxa"/>
            <w:vAlign w:val="top"/>
          </w:tcPr>
          <w:p>
            <w:pPr>
              <w:pStyle w:val="106"/>
              <w:tabs>
                <w:tab w:val="clear" w:pos="2835"/>
              </w:tabs>
              <w:spacing w:after="0" w:line="240" w:lineRule="exact"/>
              <w:jc w:val="right"/>
              <w:rPr>
                <w:rFonts w:ascii="宋体" w:hAnsi="宋体" w:eastAsia="宋体"/>
                <w:color w:val="000000"/>
                <w:kern w:val="2"/>
                <w:sz w:val="22"/>
              </w:rPr>
            </w:pPr>
            <w:r>
              <w:rPr>
                <w:rFonts w:ascii="宋体" w:hAnsi="宋体" w:eastAsia="宋体"/>
                <w:color w:val="000000"/>
                <w:sz w:val="22"/>
              </w:rPr>
              <w:t>9,146,256.60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5670" w:type="dxa"/>
            <w:vAlign w:val="bottom"/>
          </w:tcPr>
          <w:p>
            <w:pPr>
              <w:spacing w:line="240" w:lineRule="exact"/>
              <w:ind w:left="123" w:hanging="123" w:hangingChars="56"/>
              <w:rPr>
                <w:rFonts w:ascii="宋体" w:hAnsi="宋体"/>
                <w:color w:val="000000"/>
                <w:sz w:val="22"/>
                <w:lang w:eastAsia="zh-TW"/>
              </w:rPr>
            </w:pPr>
            <w:r>
              <w:rPr>
                <w:rFonts w:hint="eastAsia" w:ascii="宋体" w:hAnsi="宋体"/>
                <w:color w:val="000000"/>
                <w:sz w:val="22"/>
                <w:lang w:eastAsia="zh-TW"/>
              </w:rPr>
              <w:t>二零一六年末期股息：不派發</w:t>
            </w:r>
          </w:p>
        </w:tc>
        <w:tc>
          <w:tcPr>
            <w:tcW w:w="1792" w:type="dxa"/>
            <w:vAlign w:val="bottom"/>
          </w:tcPr>
          <w:p>
            <w:pPr>
              <w:pStyle w:val="106"/>
              <w:tabs>
                <w:tab w:val="clear" w:pos="2835"/>
              </w:tabs>
              <w:spacing w:after="0" w:line="240" w:lineRule="exact"/>
              <w:jc w:val="right"/>
              <w:rPr>
                <w:rFonts w:ascii="宋体" w:hAnsi="宋体" w:eastAsia="宋体"/>
                <w:color w:val="000000"/>
                <w:kern w:val="2"/>
                <w:sz w:val="22"/>
              </w:rPr>
            </w:pPr>
            <w:r>
              <w:rPr>
                <w:rFonts w:ascii="宋体" w:hAnsi="宋体" w:eastAsia="宋体"/>
                <w:color w:val="000000"/>
                <w:kern w:val="2"/>
                <w:sz w:val="22"/>
              </w:rPr>
              <w:t>-</w:t>
            </w:r>
          </w:p>
        </w:tc>
        <w:tc>
          <w:tcPr>
            <w:tcW w:w="1602" w:type="dxa"/>
            <w:vAlign w:val="bottom"/>
          </w:tcPr>
          <w:p>
            <w:pPr>
              <w:pStyle w:val="106"/>
              <w:tabs>
                <w:tab w:val="clear" w:pos="2835"/>
              </w:tabs>
              <w:spacing w:after="0" w:line="240" w:lineRule="exact"/>
              <w:jc w:val="right"/>
              <w:rPr>
                <w:rFonts w:ascii="宋体" w:hAnsi="宋体" w:eastAsia="宋体"/>
                <w:color w:val="000000"/>
                <w:kern w:val="2"/>
                <w:sz w:val="22"/>
              </w:rPr>
            </w:pPr>
            <w:r>
              <w:rPr>
                <w:rFonts w:ascii="宋体" w:hAnsi="宋体" w:eastAsia="宋体"/>
                <w:color w:val="000000"/>
                <w:kern w:val="2"/>
                <w:sz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5670" w:type="dxa"/>
            <w:vAlign w:val="bottom"/>
          </w:tcPr>
          <w:p>
            <w:pPr>
              <w:spacing w:line="240" w:lineRule="exact"/>
              <w:ind w:left="123" w:hanging="123" w:hangingChars="56"/>
              <w:rPr>
                <w:rFonts w:ascii="宋体" w:hAnsi="宋体"/>
                <w:color w:val="000000"/>
                <w:sz w:val="22"/>
                <w:lang w:eastAsia="zh-TW"/>
              </w:rPr>
            </w:pPr>
            <w:r>
              <w:rPr>
                <w:rFonts w:hint="eastAsia" w:ascii="宋体" w:hAnsi="宋体"/>
                <w:color w:val="000000"/>
                <w:sz w:val="22"/>
                <w:lang w:eastAsia="zh-TW"/>
              </w:rPr>
              <w:t>二零一七年特別股息：每股人民幣</w:t>
            </w:r>
            <w:r>
              <w:rPr>
                <w:rFonts w:ascii="宋体" w:hAnsi="宋体"/>
                <w:color w:val="000000"/>
                <w:sz w:val="22"/>
                <w:lang w:eastAsia="zh-TW"/>
              </w:rPr>
              <w:t>0.03元</w:t>
            </w:r>
          </w:p>
        </w:tc>
        <w:tc>
          <w:tcPr>
            <w:tcW w:w="1792" w:type="dxa"/>
            <w:vAlign w:val="bottom"/>
          </w:tcPr>
          <w:p>
            <w:pPr>
              <w:pStyle w:val="106"/>
              <w:pBdr>
                <w:bottom w:val="single" w:color="auto" w:sz="4" w:space="1"/>
              </w:pBdr>
              <w:tabs>
                <w:tab w:val="clear" w:pos="2835"/>
              </w:tabs>
              <w:spacing w:after="0" w:line="240" w:lineRule="exact"/>
              <w:jc w:val="right"/>
              <w:rPr>
                <w:rFonts w:ascii="宋体" w:hAnsi="宋体" w:eastAsia="宋体"/>
                <w:color w:val="000000"/>
                <w:kern w:val="2"/>
                <w:sz w:val="22"/>
              </w:rPr>
            </w:pPr>
            <w:r>
              <w:rPr>
                <w:rFonts w:ascii="宋体" w:hAnsi="宋体" w:eastAsia="宋体"/>
                <w:color w:val="000000"/>
                <w:sz w:val="22"/>
              </w:rPr>
              <w:t>14,350,602.63</w:t>
            </w:r>
          </w:p>
        </w:tc>
        <w:tc>
          <w:tcPr>
            <w:tcW w:w="1602" w:type="dxa"/>
            <w:vAlign w:val="bottom"/>
          </w:tcPr>
          <w:p>
            <w:pPr>
              <w:pStyle w:val="106"/>
              <w:pBdr>
                <w:bottom w:val="single" w:color="auto" w:sz="4" w:space="1"/>
              </w:pBdr>
              <w:tabs>
                <w:tab w:val="clear" w:pos="2835"/>
              </w:tabs>
              <w:spacing w:after="0" w:line="240" w:lineRule="exact"/>
              <w:jc w:val="right"/>
              <w:rPr>
                <w:rFonts w:ascii="宋体" w:hAnsi="宋体" w:eastAsia="宋体"/>
                <w:color w:val="000000"/>
                <w:kern w:val="2"/>
                <w:sz w:val="22"/>
              </w:rPr>
            </w:pPr>
            <w:r>
              <w:rPr>
                <w:rFonts w:ascii="宋体" w:hAnsi="宋体" w:eastAsia="宋体"/>
                <w:color w:val="000000"/>
                <w:kern w:val="2"/>
                <w:sz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5670" w:type="dxa"/>
            <w:vAlign w:val="top"/>
          </w:tcPr>
          <w:p>
            <w:pPr>
              <w:spacing w:line="240" w:lineRule="exact"/>
              <w:ind w:left="123" w:hanging="123" w:hangingChars="56"/>
              <w:rPr>
                <w:rFonts w:ascii="宋体" w:hAnsi="宋体"/>
                <w:color w:val="000000"/>
                <w:sz w:val="22"/>
              </w:rPr>
            </w:pPr>
          </w:p>
        </w:tc>
        <w:tc>
          <w:tcPr>
            <w:tcW w:w="1792" w:type="dxa"/>
            <w:vAlign w:val="bottom"/>
          </w:tcPr>
          <w:p>
            <w:pPr>
              <w:pStyle w:val="106"/>
              <w:tabs>
                <w:tab w:val="clear" w:pos="2835"/>
              </w:tabs>
              <w:spacing w:after="0" w:line="240" w:lineRule="exact"/>
              <w:jc w:val="right"/>
              <w:rPr>
                <w:rFonts w:ascii="宋体" w:hAnsi="宋体" w:eastAsia="宋体"/>
                <w:color w:val="000000"/>
                <w:kern w:val="2"/>
                <w:sz w:val="22"/>
              </w:rPr>
            </w:pPr>
          </w:p>
        </w:tc>
        <w:tc>
          <w:tcPr>
            <w:tcW w:w="1602" w:type="dxa"/>
            <w:vAlign w:val="bottom"/>
          </w:tcPr>
          <w:p>
            <w:pPr>
              <w:pStyle w:val="106"/>
              <w:tabs>
                <w:tab w:val="clear" w:pos="2835"/>
              </w:tabs>
              <w:spacing w:after="0" w:line="240" w:lineRule="exact"/>
              <w:jc w:val="right"/>
              <w:rPr>
                <w:rFonts w:ascii="宋体" w:hAnsi="宋体" w:eastAsia="宋体"/>
                <w:color w:val="000000"/>
                <w:kern w:val="2"/>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5670" w:type="dxa"/>
            <w:vAlign w:val="top"/>
          </w:tcPr>
          <w:p>
            <w:pPr>
              <w:spacing w:line="240" w:lineRule="exact"/>
              <w:ind w:left="176" w:hanging="176" w:hangingChars="80"/>
              <w:rPr>
                <w:rFonts w:ascii="宋体" w:hAnsi="宋体"/>
                <w:color w:val="000000"/>
                <w:sz w:val="22"/>
              </w:rPr>
            </w:pPr>
          </w:p>
        </w:tc>
        <w:tc>
          <w:tcPr>
            <w:tcW w:w="1792" w:type="dxa"/>
            <w:vAlign w:val="bottom"/>
          </w:tcPr>
          <w:p>
            <w:pPr>
              <w:pBdr>
                <w:bottom w:val="double" w:color="auto" w:sz="4" w:space="1"/>
              </w:pBdr>
              <w:spacing w:line="240" w:lineRule="exact"/>
              <w:jc w:val="right"/>
              <w:rPr>
                <w:rFonts w:ascii="宋体" w:hAnsi="宋体"/>
                <w:b/>
                <w:color w:val="000000"/>
                <w:sz w:val="22"/>
              </w:rPr>
            </w:pPr>
            <w:r>
              <w:rPr>
                <w:rFonts w:ascii="宋体" w:hAnsi="宋体"/>
                <w:b/>
                <w:color w:val="000000"/>
                <w:sz w:val="22"/>
              </w:rPr>
              <w:t>14,350,602.63</w:t>
            </w:r>
          </w:p>
        </w:tc>
        <w:tc>
          <w:tcPr>
            <w:tcW w:w="1602" w:type="dxa"/>
            <w:vAlign w:val="bottom"/>
          </w:tcPr>
          <w:p>
            <w:pPr>
              <w:pBdr>
                <w:bottom w:val="double" w:color="auto" w:sz="4" w:space="1"/>
              </w:pBdr>
              <w:spacing w:line="240" w:lineRule="exact"/>
              <w:jc w:val="right"/>
              <w:rPr>
                <w:rFonts w:ascii="宋体" w:hAnsi="宋体"/>
                <w:b/>
                <w:color w:val="000000"/>
                <w:sz w:val="22"/>
              </w:rPr>
            </w:pPr>
            <w:r>
              <w:rPr>
                <w:rFonts w:ascii="宋体" w:hAnsi="宋体"/>
                <w:color w:val="000000"/>
                <w:sz w:val="22"/>
              </w:rPr>
              <w:t>9,146,256.60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5670" w:type="dxa"/>
            <w:vAlign w:val="top"/>
          </w:tcPr>
          <w:p>
            <w:pPr>
              <w:spacing w:line="240" w:lineRule="exact"/>
              <w:ind w:left="176" w:hanging="176" w:hangingChars="80"/>
              <w:rPr>
                <w:rFonts w:ascii="宋体" w:hAnsi="宋体"/>
                <w:color w:val="000000"/>
                <w:sz w:val="22"/>
              </w:rPr>
            </w:pPr>
          </w:p>
        </w:tc>
        <w:tc>
          <w:tcPr>
            <w:tcW w:w="1792" w:type="dxa"/>
            <w:vAlign w:val="bottom"/>
          </w:tcPr>
          <w:p>
            <w:pPr>
              <w:rPr>
                <w:rFonts w:ascii="宋体" w:hAnsi="宋体"/>
                <w:color w:val="000000"/>
              </w:rPr>
            </w:pPr>
          </w:p>
        </w:tc>
        <w:tc>
          <w:tcPr>
            <w:tcW w:w="1602" w:type="dxa"/>
            <w:vAlign w:val="bottom"/>
          </w:tcPr>
          <w:p>
            <w:pPr>
              <w:rPr>
                <w:rFonts w:ascii="宋体" w:hAnsi="宋体"/>
                <w:color w:val="000000"/>
              </w:rPr>
            </w:pPr>
          </w:p>
        </w:tc>
      </w:tr>
    </w:tbl>
    <w:p>
      <w:pPr>
        <w:autoSpaceDE w:val="0"/>
        <w:autoSpaceDN w:val="0"/>
        <w:adjustRightInd w:val="0"/>
        <w:ind w:left="315" w:leftChars="150"/>
        <w:rPr>
          <w:rFonts w:hint="eastAsia"/>
          <w:sz w:val="22"/>
          <w:lang w:eastAsia="zh-TW"/>
        </w:rPr>
      </w:pPr>
    </w:p>
    <w:p>
      <w:pPr>
        <w:autoSpaceDE w:val="0"/>
        <w:autoSpaceDN w:val="0"/>
        <w:adjustRightInd w:val="0"/>
        <w:ind w:left="315" w:leftChars="150"/>
        <w:rPr>
          <w:rFonts w:hint="eastAsia"/>
          <w:sz w:val="22"/>
          <w:lang w:eastAsia="zh-TW"/>
        </w:rPr>
      </w:pPr>
      <w:r>
        <w:rPr>
          <w:rFonts w:hint="eastAsia"/>
          <w:sz w:val="22"/>
          <w:lang w:eastAsia="zh-TW"/>
        </w:rPr>
        <w:t>董事會建議2017年度建議利潤分配預案為：基於本公司截至二零一七年十二月三十一日的已發行股數總數478,353,421（包括328,353,421股A股及150,000,000股H股），(i) 向股東派發2017年末期股息每股人民幣0.05元（含稅），(ii) 並以資本公積金轉增股本每10股轉增發行3股。相關金額未入二零一七年年度財務報表。請見本公告「四. 股息及資本公積金轉增股本」一節所述。</w:t>
      </w:r>
    </w:p>
    <w:p>
      <w:pPr>
        <w:autoSpaceDE w:val="0"/>
        <w:autoSpaceDN w:val="0"/>
        <w:adjustRightInd w:val="0"/>
        <w:ind w:left="315" w:leftChars="150"/>
        <w:rPr>
          <w:rFonts w:ascii="宋体" w:hAnsi="宋体"/>
          <w:color w:val="000000"/>
          <w:sz w:val="22"/>
          <w:lang w:eastAsia="zh-TW"/>
        </w:rPr>
      </w:pPr>
      <w:r>
        <w:rPr>
          <w:rFonts w:hint="eastAsia"/>
          <w:sz w:val="22"/>
          <w:lang w:eastAsia="zh-TW"/>
        </w:rPr>
        <w:br w:type="page"/>
      </w:r>
    </w:p>
    <w:p>
      <w:pPr>
        <w:pStyle w:val="24"/>
        <w:rPr>
          <w:rFonts w:ascii="Times New Roman" w:hAnsi="Times New Roman"/>
          <w:b/>
          <w:sz w:val="22"/>
          <w:lang w:eastAsia="zh-TW"/>
        </w:rPr>
      </w:pPr>
      <w:r>
        <w:rPr>
          <w:rFonts w:hint="eastAsia" w:ascii="Times New Roman" w:hAnsi="Times New Roman"/>
          <w:b/>
          <w:sz w:val="22"/>
          <w:lang w:eastAsia="zh-TW"/>
        </w:rPr>
        <w:t>十一、備查檔及查閱地址</w:t>
      </w:r>
    </w:p>
    <w:p>
      <w:pPr>
        <w:spacing w:line="300" w:lineRule="exact"/>
        <w:rPr>
          <w:sz w:val="22"/>
          <w:lang w:eastAsia="zh-TW"/>
        </w:rPr>
      </w:pPr>
    </w:p>
    <w:p>
      <w:pPr>
        <w:spacing w:line="300" w:lineRule="exact"/>
        <w:rPr>
          <w:sz w:val="22"/>
          <w:lang w:eastAsia="zh-TW"/>
        </w:rPr>
      </w:pPr>
      <w:r>
        <w:rPr>
          <w:rFonts w:hint="eastAsia"/>
          <w:sz w:val="22"/>
          <w:lang w:eastAsia="zh-TW"/>
        </w:rPr>
        <w:t>（一）備查檔</w:t>
      </w:r>
    </w:p>
    <w:p>
      <w:pPr>
        <w:tabs>
          <w:tab w:val="left" w:pos="1512"/>
        </w:tabs>
        <w:spacing w:line="300" w:lineRule="exact"/>
        <w:rPr>
          <w:sz w:val="22"/>
          <w:lang w:eastAsia="zh-TW"/>
        </w:rPr>
      </w:pPr>
      <w:r>
        <w:rPr>
          <w:sz w:val="22"/>
          <w:lang w:eastAsia="zh-TW"/>
        </w:rPr>
        <w:t xml:space="preserve">     </w:t>
      </w:r>
      <w:r>
        <w:rPr>
          <w:rFonts w:hint="eastAsia"/>
          <w:sz w:val="22"/>
          <w:lang w:eastAsia="zh-TW"/>
        </w:rPr>
        <w:t>（</w:t>
      </w:r>
      <w:r>
        <w:rPr>
          <w:sz w:val="22"/>
          <w:lang w:eastAsia="zh-TW"/>
        </w:rPr>
        <w:t>1</w:t>
      </w:r>
      <w:r>
        <w:rPr>
          <w:rFonts w:hint="eastAsia"/>
          <w:sz w:val="22"/>
          <w:lang w:eastAsia="zh-TW"/>
        </w:rPr>
        <w:t>）董事長簽署的</w:t>
      </w:r>
      <w:r>
        <w:rPr>
          <w:sz w:val="22"/>
          <w:lang w:eastAsia="zh-TW"/>
        </w:rPr>
        <w:t>2017</w:t>
      </w:r>
      <w:r>
        <w:rPr>
          <w:rFonts w:hint="eastAsia"/>
          <w:sz w:val="22"/>
          <w:lang w:eastAsia="zh-TW"/>
        </w:rPr>
        <w:t>年度業績公告</w:t>
      </w:r>
    </w:p>
    <w:p>
      <w:pPr>
        <w:tabs>
          <w:tab w:val="left" w:pos="1512"/>
        </w:tabs>
        <w:spacing w:line="300" w:lineRule="exact"/>
        <w:rPr>
          <w:sz w:val="22"/>
          <w:lang w:eastAsia="zh-TW"/>
        </w:rPr>
      </w:pPr>
      <w:r>
        <w:rPr>
          <w:sz w:val="22"/>
          <w:lang w:eastAsia="zh-TW"/>
        </w:rPr>
        <w:t xml:space="preserve">     </w:t>
      </w:r>
      <w:r>
        <w:rPr>
          <w:rFonts w:hint="eastAsia"/>
          <w:sz w:val="22"/>
          <w:lang w:eastAsia="zh-TW"/>
        </w:rPr>
        <w:t>（</w:t>
      </w:r>
      <w:r>
        <w:rPr>
          <w:sz w:val="22"/>
          <w:lang w:eastAsia="zh-TW"/>
        </w:rPr>
        <w:t>2</w:t>
      </w:r>
      <w:r>
        <w:rPr>
          <w:rFonts w:hint="eastAsia"/>
          <w:sz w:val="22"/>
          <w:lang w:eastAsia="zh-TW"/>
        </w:rPr>
        <w:t>）法人代表、財務負責人、財務部經理簽署並蓋章的財務報告</w:t>
      </w:r>
    </w:p>
    <w:p>
      <w:pPr>
        <w:spacing w:line="300" w:lineRule="exact"/>
        <w:rPr>
          <w:sz w:val="22"/>
          <w:lang w:eastAsia="zh-TW"/>
        </w:rPr>
      </w:pPr>
    </w:p>
    <w:p>
      <w:pPr>
        <w:spacing w:line="300" w:lineRule="exact"/>
        <w:rPr>
          <w:sz w:val="22"/>
          <w:lang w:eastAsia="zh-TW"/>
        </w:rPr>
      </w:pPr>
      <w:r>
        <w:rPr>
          <w:rFonts w:hint="eastAsia"/>
          <w:sz w:val="22"/>
          <w:lang w:eastAsia="zh-TW"/>
        </w:rPr>
        <w:t>（二）查閱地址</w:t>
      </w:r>
    </w:p>
    <w:p>
      <w:pPr>
        <w:spacing w:line="300" w:lineRule="exact"/>
        <w:ind w:left="210"/>
        <w:rPr>
          <w:sz w:val="22"/>
          <w:lang w:eastAsia="zh-TW"/>
        </w:rPr>
      </w:pPr>
      <w:r>
        <w:rPr>
          <w:sz w:val="22"/>
          <w:lang w:eastAsia="zh-TW"/>
        </w:rPr>
        <w:t xml:space="preserve">    </w:t>
      </w:r>
      <w:r>
        <w:rPr>
          <w:rFonts w:hint="eastAsia"/>
          <w:sz w:val="22"/>
          <w:lang w:eastAsia="zh-TW"/>
        </w:rPr>
        <w:t>本公司董事會秘書室</w:t>
      </w:r>
    </w:p>
    <w:p>
      <w:pPr>
        <w:pStyle w:val="24"/>
        <w:spacing w:line="320" w:lineRule="exact"/>
        <w:rPr>
          <w:rFonts w:ascii="Times New Roman" w:hAnsi="Times New Roman"/>
          <w:sz w:val="22"/>
          <w:lang w:eastAsia="zh-TW"/>
        </w:rPr>
      </w:pPr>
    </w:p>
    <w:p>
      <w:pPr>
        <w:pStyle w:val="24"/>
        <w:spacing w:line="320" w:lineRule="exact"/>
        <w:rPr>
          <w:rFonts w:ascii="Times New Roman" w:hAnsi="Times New Roman"/>
          <w:sz w:val="22"/>
          <w:lang w:eastAsia="zh-TW"/>
        </w:rPr>
      </w:pPr>
    </w:p>
    <w:p>
      <w:pPr>
        <w:pStyle w:val="24"/>
        <w:spacing w:line="320" w:lineRule="exact"/>
        <w:rPr>
          <w:rFonts w:ascii="Times New Roman" w:hAnsi="Times New Roman"/>
          <w:sz w:val="22"/>
          <w:lang w:eastAsia="zh-TW"/>
        </w:rPr>
      </w:pPr>
    </w:p>
    <w:p>
      <w:pPr>
        <w:pStyle w:val="24"/>
        <w:spacing w:line="320" w:lineRule="exact"/>
        <w:ind w:left="4000"/>
        <w:jc w:val="center"/>
        <w:rPr>
          <w:rFonts w:ascii="Times New Roman" w:hAnsi="Times New Roman"/>
          <w:sz w:val="22"/>
          <w:lang w:eastAsia="zh-TW"/>
        </w:rPr>
      </w:pPr>
      <w:r>
        <w:rPr>
          <w:rFonts w:hint="eastAsia" w:ascii="Times New Roman" w:hAnsi="Times New Roman"/>
          <w:sz w:val="22"/>
          <w:lang w:eastAsia="zh-TW"/>
        </w:rPr>
        <w:t>承董事會命</w:t>
      </w:r>
    </w:p>
    <w:p>
      <w:pPr>
        <w:spacing w:line="320" w:lineRule="exact"/>
        <w:ind w:left="4000" w:firstLine="220" w:firstLineChars="100"/>
        <w:jc w:val="center"/>
        <w:rPr>
          <w:sz w:val="22"/>
          <w:lang w:eastAsia="zh-TW"/>
        </w:rPr>
      </w:pPr>
      <w:r>
        <w:rPr>
          <w:rFonts w:hint="eastAsia"/>
          <w:sz w:val="22"/>
          <w:lang w:eastAsia="zh-TW"/>
        </w:rPr>
        <w:t>山東新華製藥股份有限公司</w:t>
      </w:r>
    </w:p>
    <w:p>
      <w:pPr>
        <w:spacing w:line="320" w:lineRule="exact"/>
        <w:ind w:firstLine="6050" w:firstLineChars="2750"/>
        <w:rPr>
          <w:sz w:val="22"/>
          <w:lang w:eastAsia="zh-TW"/>
        </w:rPr>
      </w:pPr>
      <w:r>
        <w:rPr>
          <w:rFonts w:hint="eastAsia"/>
          <w:sz w:val="22"/>
          <w:lang w:eastAsia="zh-TW"/>
        </w:rPr>
        <w:t>張代銘</w:t>
      </w:r>
    </w:p>
    <w:p>
      <w:pPr>
        <w:spacing w:line="320" w:lineRule="exact"/>
        <w:ind w:firstLine="6050" w:firstLineChars="2750"/>
        <w:rPr>
          <w:sz w:val="22"/>
          <w:lang w:eastAsia="zh-TW"/>
        </w:rPr>
      </w:pPr>
      <w:r>
        <w:rPr>
          <w:rFonts w:hint="eastAsia"/>
          <w:sz w:val="22"/>
          <w:lang w:eastAsia="zh-TW"/>
        </w:rPr>
        <w:t>董事長</w:t>
      </w:r>
    </w:p>
    <w:p>
      <w:pPr>
        <w:spacing w:line="320" w:lineRule="exact"/>
        <w:rPr>
          <w:sz w:val="22"/>
          <w:lang w:eastAsia="zh-TW"/>
        </w:rPr>
      </w:pPr>
      <w:r>
        <w:rPr>
          <w:sz w:val="22"/>
          <w:lang w:eastAsia="zh-TW"/>
        </w:rPr>
        <w:t>2018年3</w:t>
      </w:r>
      <w:r>
        <w:rPr>
          <w:rFonts w:hint="eastAsia"/>
          <w:sz w:val="22"/>
          <w:lang w:eastAsia="zh-TW"/>
        </w:rPr>
        <w:t>月</w:t>
      </w:r>
      <w:r>
        <w:rPr>
          <w:sz w:val="22"/>
          <w:lang w:eastAsia="zh-TW"/>
        </w:rPr>
        <w:t>23日中國</w:t>
      </w:r>
      <w:r>
        <w:rPr>
          <w:rFonts w:hint="eastAsia"/>
          <w:sz w:val="22"/>
          <w:lang w:eastAsia="zh-TW"/>
        </w:rPr>
        <w:t>淄博</w:t>
      </w:r>
    </w:p>
    <w:p>
      <w:pPr>
        <w:spacing w:line="320" w:lineRule="exact"/>
        <w:rPr>
          <w:sz w:val="22"/>
          <w:lang w:eastAsia="zh-TW"/>
        </w:rPr>
      </w:pPr>
    </w:p>
    <w:p>
      <w:pPr>
        <w:spacing w:line="320" w:lineRule="exact"/>
        <w:rPr>
          <w:sz w:val="22"/>
          <w:lang w:eastAsia="zh-TW"/>
        </w:rPr>
      </w:pPr>
      <w:r>
        <w:rPr>
          <w:rFonts w:ascii="Times New Roman" w:hAnsi="Times New Roman" w:eastAsia="宋体" w:cs="Times New Roman"/>
          <w:kern w:val="2"/>
          <w:sz w:val="22"/>
          <w:lang w:val="en-US" w:eastAsia="zh-CN" w:bidi="ar-SA"/>
        </w:rPr>
        <w:pict>
          <v:shape id="文本框 14" o:spid="_x0000_s1029" type="#_x0000_t202" style="position:absolute;left:0;margin-left:468pt;margin-top:9pt;height:36pt;width:72pt;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sz w:val="16"/>
                      <w:szCs w:val="16"/>
                    </w:rPr>
                  </w:pPr>
                </w:p>
              </w:txbxContent>
            </v:textbox>
          </v:shape>
        </w:pict>
      </w:r>
      <w:r>
        <w:rPr>
          <w:rFonts w:hint="eastAsia"/>
          <w:sz w:val="22"/>
          <w:lang w:eastAsia="zh-TW"/>
        </w:rPr>
        <w:t>於本公告日期，本公司董事會之成員如下：</w:t>
      </w:r>
    </w:p>
    <w:p>
      <w:pPr>
        <w:spacing w:line="320" w:lineRule="exact"/>
        <w:rPr>
          <w:sz w:val="22"/>
          <w:lang w:eastAsia="zh-TW"/>
        </w:rPr>
      </w:pPr>
    </w:p>
    <w:tbl>
      <w:tblPr>
        <w:tblW w:w="85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843"/>
        <w:gridCol w:w="2844"/>
        <w:gridCol w:w="28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43" w:type="dxa"/>
            <w:vAlign w:val="top"/>
          </w:tcPr>
          <w:p>
            <w:pPr>
              <w:spacing w:line="320" w:lineRule="exact"/>
              <w:rPr>
                <w:sz w:val="22"/>
              </w:rPr>
            </w:pPr>
            <w:r>
              <w:rPr>
                <w:rFonts w:hint="eastAsia"/>
                <w:sz w:val="22"/>
              </w:rPr>
              <w:t>執行董事</w:t>
            </w:r>
          </w:p>
        </w:tc>
        <w:tc>
          <w:tcPr>
            <w:tcW w:w="2844" w:type="dxa"/>
            <w:vAlign w:val="top"/>
          </w:tcPr>
          <w:p>
            <w:pPr>
              <w:spacing w:line="320" w:lineRule="exact"/>
              <w:rPr>
                <w:sz w:val="22"/>
              </w:rPr>
            </w:pPr>
            <w:r>
              <w:rPr>
                <w:rFonts w:hint="eastAsia"/>
                <w:sz w:val="22"/>
              </w:rPr>
              <w:t>非執行董事</w:t>
            </w:r>
          </w:p>
        </w:tc>
        <w:tc>
          <w:tcPr>
            <w:tcW w:w="2844" w:type="dxa"/>
            <w:vAlign w:val="top"/>
          </w:tcPr>
          <w:p>
            <w:pPr>
              <w:spacing w:line="320" w:lineRule="exact"/>
              <w:rPr>
                <w:sz w:val="22"/>
              </w:rPr>
            </w:pPr>
            <w:r>
              <w:rPr>
                <w:rFonts w:hint="eastAsia"/>
                <w:sz w:val="22"/>
              </w:rPr>
              <w:t>獨立非執行董事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43" w:type="dxa"/>
            <w:vAlign w:val="top"/>
          </w:tcPr>
          <w:p>
            <w:pPr>
              <w:spacing w:line="320" w:lineRule="exact"/>
              <w:rPr>
                <w:sz w:val="22"/>
                <w:lang w:eastAsia="zh-TW"/>
              </w:rPr>
            </w:pPr>
            <w:r>
              <w:rPr>
                <w:rFonts w:hint="eastAsia"/>
                <w:sz w:val="22"/>
                <w:lang w:eastAsia="zh-TW"/>
              </w:rPr>
              <w:t>張代銘先生（董事長）</w:t>
            </w:r>
          </w:p>
        </w:tc>
        <w:tc>
          <w:tcPr>
            <w:tcW w:w="2844" w:type="dxa"/>
            <w:vAlign w:val="top"/>
          </w:tcPr>
          <w:p>
            <w:pPr>
              <w:spacing w:line="320" w:lineRule="exact"/>
              <w:rPr>
                <w:sz w:val="22"/>
              </w:rPr>
            </w:pPr>
            <w:r>
              <w:rPr>
                <w:rFonts w:hint="eastAsia"/>
                <w:sz w:val="22"/>
              </w:rPr>
              <w:t>任福龍先生</w:t>
            </w:r>
          </w:p>
        </w:tc>
        <w:tc>
          <w:tcPr>
            <w:tcW w:w="2844" w:type="dxa"/>
            <w:vAlign w:val="top"/>
          </w:tcPr>
          <w:p>
            <w:pPr>
              <w:spacing w:line="320" w:lineRule="exact"/>
              <w:rPr>
                <w:sz w:val="22"/>
              </w:rPr>
            </w:pPr>
            <w:r>
              <w:rPr>
                <w:rFonts w:hint="eastAsia"/>
                <w:sz w:val="22"/>
              </w:rPr>
              <w:t>李文明先生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43" w:type="dxa"/>
            <w:vAlign w:val="top"/>
          </w:tcPr>
          <w:p>
            <w:pPr>
              <w:spacing w:line="320" w:lineRule="exact"/>
              <w:rPr>
                <w:sz w:val="22"/>
              </w:rPr>
            </w:pPr>
            <w:r>
              <w:rPr>
                <w:rFonts w:hint="eastAsia"/>
                <w:sz w:val="22"/>
              </w:rPr>
              <w:t>杜德平先生</w:t>
            </w:r>
          </w:p>
        </w:tc>
        <w:tc>
          <w:tcPr>
            <w:tcW w:w="2844" w:type="dxa"/>
            <w:vAlign w:val="top"/>
          </w:tcPr>
          <w:p>
            <w:pPr>
              <w:spacing w:line="320" w:lineRule="exact"/>
              <w:rPr>
                <w:sz w:val="22"/>
              </w:rPr>
            </w:pPr>
            <w:r>
              <w:rPr>
                <w:rFonts w:hint="eastAsia"/>
                <w:sz w:val="22"/>
              </w:rPr>
              <w:t>徐列先生</w:t>
            </w:r>
          </w:p>
        </w:tc>
        <w:tc>
          <w:tcPr>
            <w:tcW w:w="2844" w:type="dxa"/>
            <w:vAlign w:val="top"/>
          </w:tcPr>
          <w:p>
            <w:pPr>
              <w:spacing w:line="320" w:lineRule="exact"/>
              <w:rPr>
                <w:sz w:val="22"/>
              </w:rPr>
            </w:pPr>
            <w:r>
              <w:rPr>
                <w:rFonts w:hint="eastAsia"/>
                <w:sz w:val="22"/>
              </w:rPr>
              <w:t>杜冠華先生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43" w:type="dxa"/>
            <w:vAlign w:val="top"/>
          </w:tcPr>
          <w:p>
            <w:pPr>
              <w:spacing w:line="320" w:lineRule="exact"/>
              <w:rPr>
                <w:sz w:val="22"/>
              </w:rPr>
            </w:pPr>
          </w:p>
        </w:tc>
        <w:tc>
          <w:tcPr>
            <w:tcW w:w="2844" w:type="dxa"/>
            <w:vAlign w:val="top"/>
          </w:tcPr>
          <w:p>
            <w:pPr>
              <w:spacing w:line="320" w:lineRule="exact"/>
              <w:rPr>
                <w:sz w:val="22"/>
              </w:rPr>
            </w:pPr>
            <w:r>
              <w:rPr>
                <w:rFonts w:hint="eastAsia"/>
                <w:sz w:val="22"/>
              </w:rPr>
              <w:t>趙斌先生</w:t>
            </w:r>
          </w:p>
        </w:tc>
        <w:tc>
          <w:tcPr>
            <w:tcW w:w="2844" w:type="dxa"/>
            <w:vAlign w:val="top"/>
          </w:tcPr>
          <w:p>
            <w:pPr>
              <w:spacing w:line="320" w:lineRule="exact"/>
              <w:rPr>
                <w:sz w:val="22"/>
              </w:rPr>
            </w:pPr>
            <w:r>
              <w:rPr>
                <w:rFonts w:hint="eastAsia"/>
                <w:sz w:val="22"/>
              </w:rPr>
              <w:t>陳仲戟先生</w:t>
            </w:r>
          </w:p>
        </w:tc>
      </w:tr>
    </w:tbl>
    <w:p/>
    <w:sectPr>
      <w:footerReference r:id="rId4" w:type="default"/>
      <w:footerReference r:id="rId5" w:type="even"/>
      <w:pgSz w:w="11909" w:h="16834"/>
      <w:pgMar w:top="1440" w:right="1418" w:bottom="1423" w:left="1474" w:header="720" w:footer="737" w:gutter="17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華康仿宋體W4(P)">
    <w:altName w:val="PMingLiU"/>
    <w:panose1 w:val="00000000000000000000"/>
    <w:charset w:val="88"/>
    <w:family w:val="auto"/>
    <w:pitch w:val="default"/>
    <w:sig w:usb0="80000001" w:usb1="28091800" w:usb2="00000016" w:usb3="00000000" w:csb0="00100000" w:csb1="00000000"/>
  </w:font>
  <w:font w:name="DFPFangSongW4-B5">
    <w:altName w:val="PMingLiU"/>
    <w:panose1 w:val="00000000000000000000"/>
    <w:charset w:val="88"/>
    <w:family w:val="auto"/>
    <w:pitch w:val="default"/>
    <w:sig w:usb0="00000001" w:usb1="08080000" w:usb2="00000010" w:usb3="00000000" w:csb0="00100000" w:csb1="00000000"/>
  </w:font>
  <w:font w:name="PMingLiU">
    <w:panose1 w:val="02020500000000000000"/>
    <w:charset w:val="88"/>
    <w:family w:val="auto"/>
    <w:pitch w:val="default"/>
    <w:sig w:usb0="A00002FF" w:usb1="28CFFCFA" w:usb2="00000016" w:usb3="00000000" w:csb0="00100001" w:csb1="00000000"/>
  </w:font>
  <w:font w:name="MingLiU">
    <w:panose1 w:val="02020509000000000000"/>
    <w:charset w:val="88"/>
    <w:family w:val="auto"/>
    <w:pitch w:val="default"/>
    <w:sig w:usb0="A00002FF" w:usb1="28CFFCFA" w:usb2="00000016" w:usb3="00000000" w:csb0="00100001" w:csb1="00000000"/>
  </w:font>
  <w:font w:name="Arial Unicode MS">
    <w:altName w:val="Arial"/>
    <w:panose1 w:val="020B0604020202020204"/>
    <w:charset w:val="80"/>
    <w:family w:val="auto"/>
    <w:pitch w:val="default"/>
    <w:sig w:usb0="F7FFAFFF" w:usb1="E9DFFFFF" w:usb2="0000003F" w:usb3="00000000" w:csb0="003F01FF" w:csb1="00000000"/>
  </w:font>
  <w:font w:name="Verdana">
    <w:panose1 w:val="020B0604030504040204"/>
    <w:charset w:val="00"/>
    <w:family w:val="auto"/>
    <w:pitch w:val="default"/>
    <w:sig w:usb0="A10006FF" w:usb1="4000205B" w:usb2="00000010" w:usb3="00000000" w:csb0="2000019F" w:csb1="00000000"/>
  </w:font>
  <w:font w:name="ATC-*MHei*0020*L+Univers*0020*4">
    <w:altName w:val="MingLiU"/>
    <w:panose1 w:val="00000000000000000000"/>
    <w:charset w:val="88"/>
    <w:family w:val="auto"/>
    <w:pitch w:val="default"/>
    <w:sig w:usb0="00000001" w:usb1="08080000" w:usb2="00000010" w:usb3="00000000" w:csb0="00100000" w:csb1="00000000"/>
  </w:font>
  <w:font w:name="KaiTi_GB2312">
    <w:altName w:val="宋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方正楷体_GBK">
    <w:altName w:val="黑体"/>
    <w:panose1 w:val="00000000000000000000"/>
    <w:charset w:val="86"/>
    <w:family w:val="auto"/>
    <w:pitch w:val="default"/>
    <w:sig w:usb0="00000001" w:usb1="080E0000" w:usb2="00000010" w:usb3="00000000" w:csb0="00040000" w:csb1="00000000"/>
  </w:font>
  <w:font w:name="..">
    <w:altName w:val="黑体"/>
    <w:panose1 w:val="00000000000000000000"/>
    <w:charset w:val="86"/>
    <w:family w:val="auto"/>
    <w:pitch w:val="default"/>
    <w:sig w:usb0="00000001" w:usb1="080E0000" w:usb2="00000010" w:usb3="00000000" w:csb0="00040000" w:csb1="00000000"/>
  </w:font>
  <w:font w:name="Helvetica">
    <w:altName w:val="Vijaya"/>
    <w:panose1 w:val="020B0604020202020204"/>
    <w:charset w:val="00"/>
    <w:family w:val="auto"/>
    <w:pitch w:val="default"/>
    <w:sig w:usb0="00000003" w:usb1="00000000" w:usb2="00000000" w:usb3="00000000" w:csb0="00000001" w:csb1="00000000"/>
  </w:font>
  <w:font w:name="ˎ̥">
    <w:altName w:val="Times New Roman"/>
    <w:panose1 w:val="00000000000000000000"/>
    <w:charset w:val="00"/>
    <w:family w:val="auto"/>
    <w:pitch w:val="default"/>
    <w:sig w:usb0="00000000" w:usb1="00000000" w:usb2="00000000" w:usb3="00000000" w:csb0="00040001" w:csb1="00000000"/>
  </w:font>
  <w:font w:name="FangSong_GB2312">
    <w:altName w:val="仿宋"/>
    <w:panose1 w:val="02010609060101010101"/>
    <w:charset w:val="00"/>
    <w:family w:val="auto"/>
    <w:pitch w:val="default"/>
    <w:sig w:usb0="00000000" w:usb1="00000000" w:usb2="00000000" w:usb3="00000000" w:csb0="00040001" w:csb1="00000000"/>
  </w:font>
  <w:font w:name="Vijaya">
    <w:panose1 w:val="020B0604020202020204"/>
    <w:charset w:val="00"/>
    <w:family w:val="auto"/>
    <w:pitch w:val="default"/>
    <w:sig w:usb0="00100003"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9"/>
      <w:framePr w:wrap="around" w:hAnchor="margin" w:vAnchor="text" w:xAlign="center" w:y="1"/>
      <w:rPr>
        <w:rStyle w:val="39"/>
      </w:rPr>
    </w:pPr>
    <w:r>
      <w:fldChar w:fldCharType="begin"/>
    </w:r>
    <w:r>
      <w:rPr>
        <w:rStyle w:val="39"/>
      </w:rPr>
      <w:instrText xml:space="preserve">PAGE  </w:instrText>
    </w:r>
    <w:r>
      <w:fldChar w:fldCharType="separate"/>
    </w:r>
    <w:r>
      <w:rPr>
        <w:rStyle w:val="39"/>
      </w:rPr>
      <w:t>20</w:t>
    </w:r>
    <w:r>
      <w:fldChar w:fldCharType="end"/>
    </w:r>
  </w:p>
  <w:p>
    <w:pPr>
      <w:pStyle w:val="29"/>
      <w:framePr w:wrap="around" w:hAnchor="margin" w:vAnchor="text" w:xAlign="right" w:y="1"/>
      <w:rPr>
        <w:rStyle w:val="39"/>
      </w:rPr>
    </w:pPr>
  </w:p>
  <w:p>
    <w:pPr>
      <w:pStyle w:val="29"/>
      <w:framePr w:wrap="around" w:hAnchor="margin" w:vAnchor="text" w:xAlign="right" w:y="1"/>
      <w:ind w:right="360"/>
      <w:rPr>
        <w:rStyle w:val="39"/>
      </w:rPr>
    </w:pPr>
  </w:p>
  <w:p>
    <w:pPr>
      <w:pStyle w:val="2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9"/>
      <w:framePr w:wrap="around" w:hAnchor="margin" w:vAnchor="text" w:xAlign="center" w:y="1"/>
    </w:pPr>
    <w:r>
      <w:rPr>
        <w:rFonts w:eastAsia="PMingLiU"/>
        <w:lang w:eastAsia="zh-TW"/>
      </w:rPr>
      <w:t>PAGE  1</w:t>
    </w:r>
  </w:p>
  <w:p>
    <w:pPr>
      <w:pStyle w:val="2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8450027">
    <w:nsid w:val="04AD0D6B"/>
    <w:multiLevelType w:val="multilevel"/>
    <w:tmpl w:val="04AD0D6B"/>
    <w:lvl w:ilvl="0" w:tentative="1">
      <w:start w:val="1"/>
      <w:numFmt w:val="upperRoman"/>
      <w:pStyle w:val="2"/>
      <w:lvlText w:val="%1"/>
      <w:lvlJc w:val="left"/>
      <w:pPr>
        <w:tabs>
          <w:tab w:val="left" w:pos="720"/>
        </w:tabs>
        <w:ind w:left="720" w:hanging="720"/>
      </w:pPr>
      <w:rPr>
        <w:rFonts w:hint="eastAsia"/>
      </w:rPr>
    </w:lvl>
    <w:lvl w:ilvl="1" w:tentative="1">
      <w:start w:val="1"/>
      <w:numFmt w:val="none"/>
      <w:pStyle w:val="3"/>
      <w:suff w:val="nothing"/>
      <w:lvlText w:val="%2"/>
      <w:lvlJc w:val="left"/>
      <w:pPr>
        <w:ind w:left="0" w:firstLine="0"/>
      </w:pPr>
      <w:rPr>
        <w:rFonts w:hint="eastAsia"/>
      </w:rPr>
    </w:lvl>
    <w:lvl w:ilvl="2" w:tentative="1">
      <w:start w:val="1"/>
      <w:numFmt w:val="decimal"/>
      <w:lvlText w:val="%3"/>
      <w:lvlJc w:val="left"/>
      <w:pPr>
        <w:tabs>
          <w:tab w:val="left" w:pos="720"/>
        </w:tabs>
        <w:ind w:left="720" w:hanging="720"/>
      </w:pPr>
      <w:rPr>
        <w:rFonts w:hint="eastAsia"/>
      </w:rPr>
    </w:lvl>
    <w:lvl w:ilvl="3" w:tentative="1">
      <w:start w:val="1"/>
      <w:numFmt w:val="lowerLetter"/>
      <w:pStyle w:val="5"/>
      <w:lvlText w:val="(%4)"/>
      <w:lvlJc w:val="left"/>
      <w:pPr>
        <w:tabs>
          <w:tab w:val="left" w:pos="1440"/>
        </w:tabs>
        <w:ind w:left="720" w:firstLine="0"/>
      </w:pPr>
      <w:rPr>
        <w:rFonts w:hint="eastAsia"/>
      </w:rPr>
    </w:lvl>
    <w:lvl w:ilvl="4" w:tentative="1">
      <w:start w:val="1"/>
      <w:numFmt w:val="lowerRoman"/>
      <w:pStyle w:val="6"/>
      <w:lvlText w:val="(%5)"/>
      <w:lvlJc w:val="left"/>
      <w:pPr>
        <w:tabs>
          <w:tab w:val="left" w:pos="2520"/>
        </w:tabs>
        <w:ind w:left="720" w:firstLine="720"/>
      </w:pPr>
      <w:rPr>
        <w:rFonts w:hint="eastAsia"/>
      </w:rPr>
    </w:lvl>
    <w:lvl w:ilvl="5" w:tentative="1">
      <w:start w:val="1"/>
      <w:numFmt w:val="lowerRoman"/>
      <w:lvlText w:val="(%6)"/>
      <w:lvlJc w:val="left"/>
      <w:pPr>
        <w:tabs>
          <w:tab w:val="left" w:pos="2160"/>
        </w:tabs>
        <w:ind w:left="2160" w:hanging="360"/>
      </w:pPr>
      <w:rPr>
        <w:rFonts w:hint="eastAsia"/>
      </w:rPr>
    </w:lvl>
    <w:lvl w:ilvl="6" w:tentative="1">
      <w:start w:val="1"/>
      <w:numFmt w:val="decimal"/>
      <w:lvlText w:val="%7."/>
      <w:lvlJc w:val="left"/>
      <w:pPr>
        <w:tabs>
          <w:tab w:val="left" w:pos="2520"/>
        </w:tabs>
        <w:ind w:left="2520" w:hanging="360"/>
      </w:pPr>
      <w:rPr>
        <w:rFonts w:hint="eastAsia"/>
      </w:rPr>
    </w:lvl>
    <w:lvl w:ilvl="7" w:tentative="1">
      <w:start w:val="1"/>
      <w:numFmt w:val="lowerLetter"/>
      <w:lvlText w:val="%8."/>
      <w:lvlJc w:val="left"/>
      <w:pPr>
        <w:tabs>
          <w:tab w:val="left" w:pos="2880"/>
        </w:tabs>
        <w:ind w:left="2880" w:hanging="360"/>
      </w:pPr>
      <w:rPr>
        <w:rFonts w:hint="eastAsia"/>
      </w:rPr>
    </w:lvl>
    <w:lvl w:ilvl="8" w:tentative="1">
      <w:start w:val="1"/>
      <w:numFmt w:val="lowerRoman"/>
      <w:lvlText w:val="%9."/>
      <w:lvlJc w:val="left"/>
      <w:pPr>
        <w:tabs>
          <w:tab w:val="left" w:pos="3240"/>
        </w:tabs>
        <w:ind w:left="3240" w:hanging="360"/>
      </w:pPr>
      <w:rPr>
        <w:rFonts w:hint="eastAsia"/>
      </w:rPr>
    </w:lvl>
  </w:abstractNum>
  <w:abstractNum w:abstractNumId="219101541">
    <w:nsid w:val="0D0F3965"/>
    <w:multiLevelType w:val="multilevel"/>
    <w:tmpl w:val="0D0F3965"/>
    <w:lvl w:ilvl="0" w:tentative="1">
      <w:start w:val="2"/>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6899845">
    <w:nsid w:val="17A83605"/>
    <w:multiLevelType w:val="multilevel"/>
    <w:tmpl w:val="17A83605"/>
    <w:lvl w:ilvl="0" w:tentative="1">
      <w:start w:val="1"/>
      <w:numFmt w:val="japaneseCounting"/>
      <w:lvlText w:val="%1、"/>
      <w:lvlJc w:val="left"/>
      <w:pPr>
        <w:ind w:left="450" w:hanging="45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04472800">
    <w:nsid w:val="59AC6EE0"/>
    <w:multiLevelType w:val="multilevel"/>
    <w:tmpl w:val="59AC6EE0"/>
    <w:lvl w:ilvl="0" w:tentative="1">
      <w:start w:val="1"/>
      <w:numFmt w:val="upperRoman"/>
      <w:pStyle w:val="4"/>
      <w:lvlText w:val="%1"/>
      <w:lvlJc w:val="left"/>
      <w:pPr>
        <w:tabs>
          <w:tab w:val="left" w:pos="720"/>
        </w:tabs>
        <w:ind w:left="720" w:hanging="720"/>
      </w:pPr>
    </w:lvl>
    <w:lvl w:ilvl="1" w:tentative="1">
      <w:start w:val="1"/>
      <w:numFmt w:val="none"/>
      <w:suff w:val="nothing"/>
      <w:lvlText w:val="%2"/>
      <w:lvlJc w:val="left"/>
    </w:lvl>
    <w:lvl w:ilvl="2" w:tentative="1">
      <w:start w:val="1"/>
      <w:numFmt w:val="decimal"/>
      <w:lvlText w:val="%3."/>
      <w:lvlJc w:val="left"/>
      <w:pPr>
        <w:tabs>
          <w:tab w:val="left" w:pos="720"/>
        </w:tabs>
        <w:ind w:left="720" w:hanging="720"/>
      </w:pPr>
    </w:lvl>
    <w:lvl w:ilvl="3" w:tentative="1">
      <w:start w:val="1"/>
      <w:numFmt w:val="lowerLetter"/>
      <w:lvlText w:val="(%4)"/>
      <w:lvlJc w:val="left"/>
      <w:pPr>
        <w:tabs>
          <w:tab w:val="left" w:pos="1440"/>
        </w:tabs>
        <w:ind w:left="720"/>
      </w:pPr>
    </w:lvl>
    <w:lvl w:ilvl="4" w:tentative="1">
      <w:start w:val="1"/>
      <w:numFmt w:val="lowerRoman"/>
      <w:lvlText w:val="(%5)"/>
      <w:lvlJc w:val="left"/>
      <w:pPr>
        <w:tabs>
          <w:tab w:val="left" w:pos="2520"/>
        </w:tabs>
        <w:ind w:left="720" w:firstLine="720"/>
      </w:pPr>
    </w:lvl>
    <w:lvl w:ilvl="5" w:tentative="1">
      <w:start w:val="1"/>
      <w:numFmt w:val="lowerRoman"/>
      <w:lvlText w:val="(%6)"/>
      <w:lvlJc w:val="left"/>
      <w:pPr>
        <w:tabs>
          <w:tab w:val="left" w:pos="2160"/>
        </w:tabs>
        <w:ind w:left="2160" w:hanging="360"/>
      </w:pPr>
    </w:lvl>
    <w:lvl w:ilvl="6" w:tentative="1">
      <w:start w:val="1"/>
      <w:numFmt w:val="decimal"/>
      <w:lvlText w:val="%7."/>
      <w:lvlJc w:val="left"/>
      <w:pPr>
        <w:tabs>
          <w:tab w:val="left" w:pos="2520"/>
        </w:tabs>
        <w:ind w:left="2520" w:hanging="360"/>
      </w:pPr>
    </w:lvl>
    <w:lvl w:ilvl="7" w:tentative="1">
      <w:start w:val="1"/>
      <w:numFmt w:val="lowerLetter"/>
      <w:lvlText w:val="%8."/>
      <w:lvlJc w:val="left"/>
      <w:pPr>
        <w:tabs>
          <w:tab w:val="left" w:pos="2880"/>
        </w:tabs>
        <w:ind w:left="2880" w:hanging="360"/>
      </w:pPr>
    </w:lvl>
    <w:lvl w:ilvl="8" w:tentative="1">
      <w:start w:val="1"/>
      <w:numFmt w:val="lowerRoman"/>
      <w:lvlText w:val="%9."/>
      <w:lvlJc w:val="left"/>
      <w:pPr>
        <w:tabs>
          <w:tab w:val="left" w:pos="3240"/>
        </w:tabs>
        <w:ind w:left="3240" w:hanging="360"/>
      </w:pPr>
    </w:lvl>
  </w:abstractNum>
  <w:num w:numId="1">
    <w:abstractNumId w:val="78450027"/>
  </w:num>
  <w:num w:numId="2">
    <w:abstractNumId w:val="1504472800"/>
  </w:num>
  <w:num w:numId="3">
    <w:abstractNumId w:val="396899845"/>
  </w:num>
  <w:num w:numId="4">
    <w:abstractNumId w:val="2191015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doNotBreakWrappedTables/>
    <w:doNotWrapTextWithPunct/>
    <w:doNotUseEastAsianBreakRules/>
    <w:growAutofit/>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name="Normal Indent"/>
    <w:lsdException w:unhideWhenUsed="0" w:uiPriority="0" w:name="footnote text"/>
    <w:lsdException w:uiPriority="0" w:semiHidden="0" w:name="annotation text"/>
    <w:lsdException w:unhideWhenUsed="0" w:uiPriority="0" w:name="header"/>
    <w:lsdException w:unhideWhenUsed="0"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nhideWhenUsed="0" w:uiPriority="0" w:name="annotation reference"/>
    <w:lsdException w:uiPriority="0" w:name="line number"/>
    <w:lsdException w:unhideWhenUsed="0" w:uiPriority="0" w:name="page number"/>
    <w:lsdException w:uiPriority="0" w:name="endnote reference"/>
    <w:lsdException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nhideWhenUsed="0" w:uiPriority="0" w:name="List Bullet 2"/>
    <w:lsdException w:unhideWhenUsed="0"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nhideWhenUsed="0" w:uiPriority="0" w:name="Closing"/>
    <w:lsdException w:uiPriority="0" w:name="Signature"/>
    <w:lsdException w:uiPriority="1" w:name="Default Paragraph Font"/>
    <w:lsdException w:unhideWhenUsed="0" w:uiPriority="0" w:name="Body Text"/>
    <w:lsdException w:unhideWhenUsed="0"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name="Salutation"/>
    <w:lsdException w:unhideWhenUsed="0" w:uiPriority="0" w:name="Date"/>
    <w:lsdException w:uiPriority="0" w:name="Body Text First Indent"/>
    <w:lsdException w:uiPriority="0" w:name="Body Text First Indent 2"/>
    <w:lsdException w:unhideWhenUsed="0" w:uiPriority="0" w:name="Note Heading"/>
    <w:lsdException w:unhideWhenUsed="0" w:uiPriority="0" w:name="Body Text 2"/>
    <w:lsdException w:unhideWhenUsed="0" w:uiPriority="0" w:name="Body Text 3"/>
    <w:lsdException w:unhideWhenUsed="0" w:uiPriority="0" w:name="Body Text Indent 2"/>
    <w:lsdException w:unhideWhenUsed="0" w:uiPriority="0" w:name="Body Text Indent 3"/>
    <w:lsdException w:unhideWhenUsed="0" w:uiPriority="0" w:name="Block Text"/>
    <w:lsdException w:unhideWhenUsed="0" w:uiPriority="0" w:name="Hyperlink"/>
    <w:lsdException w:unhideWhenUsed="0" w:uiPriority="0" w:name="FollowedHyperlink"/>
    <w:lsdException w:qFormat="1" w:unhideWhenUsed="0" w:uiPriority="0" w:semiHidden="0" w:name="Strong"/>
    <w:lsdException w:qFormat="1" w:unhideWhenUsed="0" w:uiPriority="20" w:semiHidden="0" w:name="Emphasis"/>
    <w:lsdException w:unhideWhenUsed="0" w:uiPriority="0" w:name="Document Map"/>
    <w:lsdException w:unhideWhenUsed="0" w:uiPriority="0" w:name="Plain Text"/>
    <w:lsdException w:uiPriority="0" w:name="E-mail Signature"/>
    <w:lsdException w:unhideWhenUsed="0"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nhideWhenUsed="0" w:uiPriority="0" w:name="HTML Preformatted"/>
    <w:lsdException w:uiPriority="0" w:name="HTML Sample"/>
    <w:lsdException w:uiPriority="0" w:name="HTML Typewriter"/>
    <w:lsdException w:uiPriority="0" w:name="HTML Variable"/>
    <w:lsdException w:unhideWhenUsed="0" w:uiPriority="0" w:semiHidden="0" w:name="annotation subject"/>
    <w:lsdException w:unhideWhenUsed="0" w:uiPriority="0" w:name="Balloon Text"/>
  </w:latentStyles>
  <w:style w:type="paragraph" w:default="1" w:styleId="1">
    <w:name w:val="Normal"/>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styleId="2">
    <w:name w:val="heading 1"/>
    <w:basedOn w:val="1"/>
    <w:next w:val="3"/>
    <w:qFormat/>
    <w:uiPriority w:val="0"/>
    <w:pPr>
      <w:keepNext/>
      <w:keepLines/>
      <w:pageBreakBefore/>
      <w:widowControl/>
      <w:numPr>
        <w:ilvl w:val="0"/>
        <w:numId w:val="1"/>
      </w:numPr>
      <w:tabs>
        <w:tab w:val="left" w:pos="1440"/>
        <w:tab w:val="left" w:pos="2160"/>
        <w:tab w:val="left" w:pos="2880"/>
        <w:tab w:val="left" w:pos="3600"/>
        <w:tab w:val="left" w:pos="4321"/>
        <w:tab w:val="left" w:pos="5041"/>
        <w:tab w:val="left" w:pos="5761"/>
        <w:tab w:val="left" w:pos="6481"/>
        <w:tab w:val="left" w:pos="7201"/>
        <w:tab w:val="left" w:pos="7921"/>
        <w:tab w:val="clear" w:pos="720"/>
      </w:tabs>
      <w:autoSpaceDE w:val="0"/>
      <w:autoSpaceDN w:val="0"/>
      <w:spacing w:after="242"/>
      <w:ind w:left="0"/>
      <w:jc w:val="left"/>
      <w:outlineLvl w:val="0"/>
    </w:pPr>
    <w:rPr>
      <w:b/>
      <w:kern w:val="28"/>
      <w:sz w:val="36"/>
    </w:rPr>
  </w:style>
  <w:style w:type="paragraph" w:styleId="3">
    <w:name w:val="heading 2"/>
    <w:basedOn w:val="1"/>
    <w:next w:val="4"/>
    <w:qFormat/>
    <w:uiPriority w:val="0"/>
    <w:pPr>
      <w:widowControl/>
      <w:numPr>
        <w:ilvl w:val="1"/>
        <w:numId w:val="1"/>
      </w:numPr>
      <w:tabs>
        <w:tab w:val="left" w:pos="720"/>
        <w:tab w:val="left" w:pos="1440"/>
        <w:tab w:val="left" w:pos="2160"/>
        <w:tab w:val="left" w:pos="2880"/>
        <w:tab w:val="left" w:pos="3600"/>
        <w:tab w:val="left" w:pos="4321"/>
        <w:tab w:val="left" w:pos="5041"/>
        <w:tab w:val="left" w:pos="5761"/>
        <w:tab w:val="left" w:pos="6481"/>
        <w:tab w:val="left" w:pos="7201"/>
        <w:tab w:val="left" w:pos="7921"/>
      </w:tabs>
      <w:autoSpaceDE w:val="0"/>
      <w:autoSpaceDN w:val="0"/>
      <w:spacing w:after="240"/>
      <w:jc w:val="left"/>
      <w:outlineLvl w:val="1"/>
    </w:pPr>
    <w:rPr>
      <w:kern w:val="0"/>
      <w:sz w:val="24"/>
    </w:rPr>
  </w:style>
  <w:style w:type="paragraph" w:styleId="4">
    <w:name w:val="heading 3"/>
    <w:basedOn w:val="1"/>
    <w:qFormat/>
    <w:uiPriority w:val="0"/>
    <w:pPr>
      <w:widowControl/>
      <w:numPr>
        <w:ilvl w:val="0"/>
        <w:numId w:val="2"/>
      </w:numPr>
      <w:tabs>
        <w:tab w:val="left" w:pos="1440"/>
        <w:tab w:val="left" w:pos="2160"/>
        <w:tab w:val="left" w:pos="2880"/>
        <w:tab w:val="left" w:pos="3600"/>
        <w:tab w:val="left" w:pos="4321"/>
        <w:tab w:val="left" w:pos="5041"/>
        <w:tab w:val="left" w:pos="5761"/>
        <w:tab w:val="left" w:pos="6481"/>
        <w:tab w:val="left" w:pos="7201"/>
        <w:tab w:val="left" w:pos="7921"/>
      </w:tabs>
      <w:autoSpaceDE w:val="0"/>
      <w:autoSpaceDN w:val="0"/>
      <w:spacing w:after="242"/>
      <w:ind w:left="360" w:hanging="360"/>
      <w:jc w:val="left"/>
      <w:outlineLvl w:val="2"/>
    </w:pPr>
    <w:rPr>
      <w:kern w:val="0"/>
      <w:sz w:val="24"/>
    </w:rPr>
  </w:style>
  <w:style w:type="paragraph" w:styleId="5">
    <w:name w:val="heading 4"/>
    <w:basedOn w:val="1"/>
    <w:qFormat/>
    <w:uiPriority w:val="0"/>
    <w:pPr>
      <w:keepNext/>
      <w:widowControl/>
      <w:numPr>
        <w:ilvl w:val="3"/>
        <w:numId w:val="1"/>
      </w:numPr>
      <w:tabs>
        <w:tab w:val="left" w:pos="720"/>
        <w:tab w:val="left" w:pos="2160"/>
        <w:tab w:val="left" w:pos="2880"/>
        <w:tab w:val="left" w:pos="3600"/>
        <w:tab w:val="left" w:pos="4321"/>
        <w:tab w:val="left" w:pos="5041"/>
        <w:tab w:val="left" w:pos="5761"/>
        <w:tab w:val="left" w:pos="6481"/>
        <w:tab w:val="left" w:pos="7201"/>
        <w:tab w:val="left" w:pos="7921"/>
        <w:tab w:val="clear" w:pos="1440"/>
      </w:tabs>
      <w:autoSpaceDE w:val="0"/>
      <w:autoSpaceDN w:val="0"/>
      <w:ind w:left="0"/>
      <w:jc w:val="left"/>
      <w:outlineLvl w:val="3"/>
    </w:pPr>
    <w:rPr>
      <w:kern w:val="0"/>
      <w:sz w:val="24"/>
    </w:rPr>
  </w:style>
  <w:style w:type="paragraph" w:styleId="6">
    <w:name w:val="heading 5"/>
    <w:basedOn w:val="1"/>
    <w:qFormat/>
    <w:uiPriority w:val="0"/>
    <w:pPr>
      <w:widowControl/>
      <w:numPr>
        <w:ilvl w:val="4"/>
        <w:numId w:val="1"/>
      </w:numPr>
      <w:tabs>
        <w:tab w:val="left" w:pos="720"/>
        <w:tab w:val="left" w:pos="1440"/>
        <w:tab w:val="left" w:pos="2160"/>
        <w:tab w:val="left" w:pos="2880"/>
        <w:tab w:val="left" w:pos="3600"/>
        <w:tab w:val="left" w:pos="4321"/>
        <w:tab w:val="left" w:pos="5041"/>
        <w:tab w:val="left" w:pos="5761"/>
        <w:tab w:val="left" w:pos="6481"/>
        <w:tab w:val="left" w:pos="7201"/>
        <w:tab w:val="left" w:pos="7921"/>
        <w:tab w:val="clear" w:pos="2520"/>
      </w:tabs>
      <w:autoSpaceDE w:val="0"/>
      <w:autoSpaceDN w:val="0"/>
      <w:ind w:left="0" w:firstLine="0"/>
      <w:jc w:val="left"/>
      <w:outlineLvl w:val="4"/>
    </w:pPr>
    <w:rPr>
      <w:kern w:val="0"/>
      <w:sz w:val="24"/>
    </w:rPr>
  </w:style>
  <w:style w:type="paragraph" w:styleId="7">
    <w:name w:val="heading 6"/>
    <w:basedOn w:val="1"/>
    <w:next w:val="1"/>
    <w:qFormat/>
    <w:uiPriority w:val="0"/>
    <w:pPr>
      <w:keepNext/>
      <w:widowControl/>
      <w:spacing w:line="240" w:lineRule="atLeast"/>
      <w:outlineLvl w:val="5"/>
    </w:pPr>
    <w:rPr>
      <w:rFonts w:ascii="Arial" w:hAnsi="Arial" w:eastAsia="華康仿宋體W4(P)"/>
      <w:b/>
      <w:caps/>
      <w:kern w:val="0"/>
      <w:sz w:val="20"/>
      <w:lang w:eastAsia="en-US"/>
    </w:rPr>
  </w:style>
  <w:style w:type="paragraph" w:styleId="8">
    <w:name w:val="heading 7"/>
    <w:basedOn w:val="1"/>
    <w:next w:val="1"/>
    <w:qFormat/>
    <w:uiPriority w:val="0"/>
    <w:pPr>
      <w:keepNext/>
      <w:keepLines/>
      <w:spacing w:before="240" w:after="64" w:line="320" w:lineRule="auto"/>
      <w:outlineLvl w:val="6"/>
    </w:pPr>
    <w:rPr>
      <w:b/>
      <w:bCs/>
      <w:kern w:val="0"/>
      <w:sz w:val="24"/>
      <w:szCs w:val="24"/>
    </w:rPr>
  </w:style>
  <w:style w:type="paragraph" w:styleId="9">
    <w:name w:val="heading 8"/>
    <w:basedOn w:val="1"/>
    <w:next w:val="1"/>
    <w:qFormat/>
    <w:uiPriority w:val="0"/>
    <w:pPr>
      <w:keepNext/>
      <w:widowControl/>
      <w:spacing w:line="240" w:lineRule="atLeast"/>
      <w:ind w:left="284" w:leftChars="142"/>
      <w:jc w:val="left"/>
      <w:outlineLvl w:val="7"/>
    </w:pPr>
    <w:rPr>
      <w:rFonts w:eastAsia="DFPFangSongW4-B5"/>
      <w:kern w:val="0"/>
      <w:sz w:val="24"/>
      <w:lang w:eastAsia="en-US"/>
    </w:rPr>
  </w:style>
  <w:style w:type="paragraph" w:styleId="10">
    <w:name w:val="heading 9"/>
    <w:basedOn w:val="1"/>
    <w:next w:val="1"/>
    <w:qFormat/>
    <w:uiPriority w:val="0"/>
    <w:pPr>
      <w:widowControl/>
      <w:tabs>
        <w:tab w:val="left" w:pos="1440"/>
      </w:tabs>
      <w:spacing w:line="240" w:lineRule="atLeast"/>
      <w:ind w:left="1440" w:hanging="1440"/>
      <w:jc w:val="left"/>
      <w:outlineLvl w:val="8"/>
    </w:pPr>
    <w:rPr>
      <w:rFonts w:ascii="Arial" w:hAnsi="Arial" w:eastAsia="PMingLiU"/>
      <w:kern w:val="0"/>
      <w:sz w:val="20"/>
      <w:lang w:eastAsia="zh-TW"/>
    </w:rPr>
  </w:style>
  <w:style w:type="character" w:default="1" w:styleId="37">
    <w:name w:val="Default Paragraph Font"/>
    <w:semiHidden/>
    <w:unhideWhenUsed/>
    <w:uiPriority w:val="1"/>
  </w:style>
  <w:style w:type="paragraph" w:styleId="11">
    <w:name w:val="annotation subject"/>
    <w:basedOn w:val="12"/>
    <w:next w:val="12"/>
    <w:uiPriority w:val="0"/>
    <w:pPr>
      <w:widowControl/>
      <w:spacing w:line="240" w:lineRule="atLeast"/>
    </w:pPr>
    <w:rPr>
      <w:rFonts w:ascii="Calibri" w:hAnsi="Calibri"/>
      <w:kern w:val="0"/>
      <w:sz w:val="18"/>
    </w:rPr>
  </w:style>
  <w:style w:type="paragraph" w:styleId="12">
    <w:name w:val="annotation text"/>
    <w:basedOn w:val="1"/>
    <w:unhideWhenUsed/>
    <w:uiPriority w:val="0"/>
    <w:pPr>
      <w:jc w:val="left"/>
    </w:pPr>
  </w:style>
  <w:style w:type="paragraph" w:styleId="13">
    <w:name w:val="Note Heading"/>
    <w:basedOn w:val="1"/>
    <w:next w:val="1"/>
    <w:semiHidden/>
    <w:uiPriority w:val="0"/>
    <w:pPr>
      <w:jc w:val="center"/>
    </w:pPr>
    <w:rPr>
      <w:rFonts w:ascii="PMingLiU" w:eastAsia="PMingLiU"/>
      <w:kern w:val="0"/>
      <w:sz w:val="22"/>
      <w:szCs w:val="22"/>
      <w:lang w:val="zh-TW" w:eastAsia="zh-TW"/>
    </w:rPr>
  </w:style>
  <w:style w:type="paragraph" w:styleId="14">
    <w:name w:val="Normal Indent"/>
    <w:basedOn w:val="1"/>
    <w:semiHidden/>
    <w:uiPriority w:val="0"/>
    <w:pPr>
      <w:ind w:firstLine="420"/>
    </w:pPr>
  </w:style>
  <w:style w:type="paragraph" w:styleId="15">
    <w:name w:val="Document Map"/>
    <w:basedOn w:val="1"/>
    <w:semiHidden/>
    <w:uiPriority w:val="0"/>
    <w:pPr>
      <w:jc w:val="left"/>
    </w:pPr>
    <w:rPr>
      <w:rFonts w:ascii="宋体" w:hAnsi="Calibri"/>
      <w:kern w:val="0"/>
      <w:sz w:val="18"/>
      <w:szCs w:val="18"/>
      <w:lang w:eastAsia="zh-TW"/>
    </w:rPr>
  </w:style>
  <w:style w:type="paragraph" w:styleId="16">
    <w:name w:val="Salutation"/>
    <w:basedOn w:val="1"/>
    <w:next w:val="1"/>
    <w:semiHidden/>
    <w:uiPriority w:val="0"/>
    <w:rPr>
      <w:rFonts w:eastAsia="PMingLiU"/>
      <w:sz w:val="22"/>
      <w:szCs w:val="22"/>
      <w:lang w:eastAsia="zh-TW"/>
    </w:rPr>
  </w:style>
  <w:style w:type="paragraph" w:styleId="17">
    <w:name w:val="Body Text 3"/>
    <w:basedOn w:val="1"/>
    <w:semiHidden/>
    <w:uiPriority w:val="0"/>
    <w:rPr>
      <w:rFonts w:ascii="宋体"/>
      <w:color w:val="000000"/>
    </w:rPr>
  </w:style>
  <w:style w:type="paragraph" w:styleId="18">
    <w:name w:val="Closing"/>
    <w:basedOn w:val="1"/>
    <w:semiHidden/>
    <w:uiPriority w:val="0"/>
    <w:pPr>
      <w:ind w:left="100" w:leftChars="1800"/>
      <w:jc w:val="left"/>
    </w:pPr>
    <w:rPr>
      <w:rFonts w:ascii="PMingLiU" w:eastAsia="PMingLiU"/>
      <w:kern w:val="0"/>
      <w:sz w:val="22"/>
      <w:szCs w:val="22"/>
      <w:lang w:val="zh-TW" w:eastAsia="zh-TW"/>
    </w:rPr>
  </w:style>
  <w:style w:type="paragraph" w:styleId="19">
    <w:name w:val="List Bullet 3"/>
    <w:basedOn w:val="1"/>
    <w:semiHidden/>
    <w:uiPriority w:val="0"/>
    <w:pPr>
      <w:widowControl/>
      <w:tabs>
        <w:tab w:val="left" w:pos="1320"/>
      </w:tabs>
      <w:overflowPunct w:val="0"/>
      <w:autoSpaceDE w:val="0"/>
      <w:autoSpaceDN w:val="0"/>
      <w:adjustRightInd w:val="0"/>
      <w:ind w:left="1320" w:hanging="360"/>
      <w:jc w:val="left"/>
      <w:textAlignment w:val="baseline"/>
    </w:pPr>
    <w:rPr>
      <w:rFonts w:eastAsia="MingLiU"/>
      <w:kern w:val="0"/>
      <w:sz w:val="20"/>
      <w:lang w:eastAsia="zh-TW"/>
    </w:rPr>
  </w:style>
  <w:style w:type="paragraph" w:styleId="20">
    <w:name w:val="Body Text"/>
    <w:basedOn w:val="1"/>
    <w:semiHidden/>
    <w:uiPriority w:val="0"/>
    <w:pPr>
      <w:spacing w:after="288"/>
    </w:pPr>
    <w:rPr>
      <w:snapToGrid w:val="0"/>
      <w:color w:val="000000"/>
      <w:kern w:val="0"/>
      <w:sz w:val="24"/>
      <w:lang w:eastAsia="en-US"/>
    </w:rPr>
  </w:style>
  <w:style w:type="paragraph" w:styleId="21">
    <w:name w:val="Body Text Indent"/>
    <w:basedOn w:val="1"/>
    <w:semiHidden/>
    <w:uiPriority w:val="0"/>
    <w:pPr>
      <w:spacing w:after="120"/>
      <w:ind w:left="420" w:leftChars="200"/>
    </w:pPr>
    <w:rPr>
      <w:rFonts w:ascii="Calibri" w:hAnsi="Calibri"/>
      <w:kern w:val="0"/>
      <w:sz w:val="20"/>
    </w:rPr>
  </w:style>
  <w:style w:type="paragraph" w:styleId="22">
    <w:name w:val="Block Text"/>
    <w:basedOn w:val="1"/>
    <w:semiHidden/>
    <w:uiPriority w:val="0"/>
    <w:pPr>
      <w:widowControl/>
      <w:tabs>
        <w:tab w:val="left" w:pos="720"/>
        <w:tab w:val="left" w:pos="841"/>
      </w:tabs>
      <w:spacing w:line="240" w:lineRule="exact"/>
      <w:ind w:left="720" w:right="58" w:hanging="720"/>
      <w:jc w:val="left"/>
    </w:pPr>
    <w:rPr>
      <w:rFonts w:eastAsia="DFPFangSongW4-B5"/>
      <w:kern w:val="0"/>
      <w:sz w:val="22"/>
      <w:lang w:eastAsia="en-US"/>
    </w:rPr>
  </w:style>
  <w:style w:type="paragraph" w:styleId="23">
    <w:name w:val="List Bullet 2"/>
    <w:basedOn w:val="1"/>
    <w:semiHidden/>
    <w:uiPriority w:val="0"/>
    <w:pPr>
      <w:widowControl/>
      <w:tabs>
        <w:tab w:val="left" w:pos="840"/>
        <w:tab w:val="left" w:pos="1680"/>
      </w:tabs>
      <w:overflowPunct w:val="0"/>
      <w:autoSpaceDE w:val="0"/>
      <w:autoSpaceDN w:val="0"/>
      <w:adjustRightInd w:val="0"/>
      <w:ind w:left="840" w:hanging="525"/>
      <w:jc w:val="left"/>
      <w:textAlignment w:val="baseline"/>
    </w:pPr>
    <w:rPr>
      <w:rFonts w:eastAsia="MingLiU"/>
      <w:kern w:val="0"/>
      <w:sz w:val="20"/>
      <w:lang w:eastAsia="zh-TW"/>
    </w:rPr>
  </w:style>
  <w:style w:type="paragraph" w:styleId="24">
    <w:name w:val="Plain Text"/>
    <w:basedOn w:val="1"/>
    <w:semiHidden/>
    <w:uiPriority w:val="0"/>
    <w:rPr>
      <w:rFonts w:ascii="宋体" w:hAnsi="Courier New"/>
      <w:kern w:val="0"/>
      <w:sz w:val="20"/>
    </w:rPr>
  </w:style>
  <w:style w:type="paragraph" w:styleId="25">
    <w:name w:val="Date"/>
    <w:basedOn w:val="1"/>
    <w:next w:val="1"/>
    <w:semiHidden/>
    <w:uiPriority w:val="0"/>
    <w:rPr>
      <w:rFonts w:ascii="宋体" w:hAnsi="Courier New"/>
    </w:rPr>
  </w:style>
  <w:style w:type="paragraph" w:styleId="26">
    <w:name w:val="Body Text Indent 2"/>
    <w:basedOn w:val="1"/>
    <w:semiHidden/>
    <w:uiPriority w:val="0"/>
    <w:pPr>
      <w:spacing w:after="120" w:line="480" w:lineRule="auto"/>
      <w:ind w:left="420" w:leftChars="200"/>
    </w:pPr>
    <w:rPr>
      <w:rFonts w:ascii="Calibri" w:hAnsi="Calibri"/>
      <w:kern w:val="0"/>
      <w:sz w:val="20"/>
    </w:rPr>
  </w:style>
  <w:style w:type="paragraph" w:styleId="27">
    <w:name w:val="endnote text"/>
    <w:basedOn w:val="1"/>
    <w:semiHidden/>
    <w:uiPriority w:val="0"/>
    <w:pPr>
      <w:widowControl/>
      <w:snapToGrid w:val="0"/>
      <w:jc w:val="left"/>
    </w:pPr>
    <w:rPr>
      <w:snapToGrid w:val="0"/>
      <w:kern w:val="0"/>
      <w:sz w:val="20"/>
      <w:lang w:eastAsia="en-US"/>
    </w:rPr>
  </w:style>
  <w:style w:type="paragraph" w:styleId="28">
    <w:name w:val="Balloon Text"/>
    <w:basedOn w:val="1"/>
    <w:semiHidden/>
    <w:uiPriority w:val="0"/>
    <w:rPr>
      <w:sz w:val="18"/>
      <w:szCs w:val="18"/>
    </w:rPr>
  </w:style>
  <w:style w:type="paragraph" w:styleId="29">
    <w:name w:val="footer"/>
    <w:basedOn w:val="1"/>
    <w:semiHidden/>
    <w:uiPriority w:val="0"/>
    <w:pPr>
      <w:tabs>
        <w:tab w:val="center" w:pos="4153"/>
        <w:tab w:val="right" w:pos="8306"/>
      </w:tabs>
      <w:snapToGrid w:val="0"/>
      <w:jc w:val="left"/>
    </w:pPr>
    <w:rPr>
      <w:rFonts w:ascii="Calibri" w:hAnsi="Calibri"/>
      <w:kern w:val="0"/>
      <w:sz w:val="18"/>
    </w:rPr>
  </w:style>
  <w:style w:type="paragraph" w:styleId="30">
    <w:name w:val="header"/>
    <w:basedOn w:val="1"/>
    <w:semiHidden/>
    <w:uiPriority w:val="0"/>
    <w:pPr>
      <w:pBdr>
        <w:bottom w:val="single" w:color="auto" w:sz="6" w:space="1"/>
      </w:pBdr>
      <w:tabs>
        <w:tab w:val="center" w:pos="4153"/>
        <w:tab w:val="right" w:pos="8306"/>
      </w:tabs>
      <w:snapToGrid w:val="0"/>
      <w:jc w:val="center"/>
    </w:pPr>
    <w:rPr>
      <w:rFonts w:ascii="Calibri" w:hAnsi="Calibri"/>
      <w:kern w:val="0"/>
      <w:sz w:val="18"/>
    </w:rPr>
  </w:style>
  <w:style w:type="paragraph" w:styleId="31">
    <w:name w:val="footnote text"/>
    <w:basedOn w:val="1"/>
    <w:semiHidden/>
    <w:uiPriority w:val="0"/>
    <w:pPr>
      <w:snapToGrid w:val="0"/>
      <w:jc w:val="left"/>
    </w:pPr>
    <w:rPr>
      <w:rFonts w:eastAsia="PMingLiU"/>
      <w:sz w:val="20"/>
      <w:lang w:eastAsia="zh-TW"/>
    </w:rPr>
  </w:style>
  <w:style w:type="paragraph" w:styleId="32">
    <w:name w:val="Body Text Indent 3"/>
    <w:basedOn w:val="1"/>
    <w:semiHidden/>
    <w:uiPriority w:val="0"/>
    <w:pPr>
      <w:spacing w:line="360" w:lineRule="auto"/>
      <w:ind w:firstLine="480"/>
    </w:pPr>
    <w:rPr>
      <w:rFonts w:ascii="宋体"/>
      <w:sz w:val="24"/>
    </w:rPr>
  </w:style>
  <w:style w:type="paragraph" w:styleId="33">
    <w:name w:val="Body Text 2"/>
    <w:basedOn w:val="1"/>
    <w:semiHidden/>
    <w:uiPriority w:val="0"/>
    <w:pPr>
      <w:spacing w:line="240" w:lineRule="atLeast"/>
      <w:ind w:right="1766"/>
    </w:pPr>
    <w:rPr>
      <w:rFonts w:ascii="宋体"/>
      <w:sz w:val="18"/>
      <w:lang w:eastAsia="zh-TW"/>
    </w:rPr>
  </w:style>
  <w:style w:type="paragraph" w:styleId="34">
    <w:name w:val="HTML Preformatted"/>
    <w:basedOn w:val="1"/>
    <w:semiHidden/>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Arial Unicode MS"/>
      <w:color w:val="000000"/>
      <w:kern w:val="0"/>
      <w:sz w:val="20"/>
    </w:rPr>
  </w:style>
  <w:style w:type="paragraph" w:styleId="35">
    <w:name w:val="Normal (Web)"/>
    <w:basedOn w:val="1"/>
    <w:semiHidden/>
    <w:uiPriority w:val="0"/>
    <w:pPr>
      <w:widowControl/>
      <w:spacing w:before="100" w:beforeAutospacing="1" w:after="100" w:afterAutospacing="1"/>
      <w:jc w:val="left"/>
    </w:pPr>
    <w:rPr>
      <w:rFonts w:ascii="宋体" w:hAnsi="宋体"/>
      <w:kern w:val="0"/>
      <w:sz w:val="24"/>
      <w:szCs w:val="24"/>
    </w:rPr>
  </w:style>
  <w:style w:type="paragraph" w:styleId="36">
    <w:name w:val="Title"/>
    <w:basedOn w:val="1"/>
    <w:next w:val="1"/>
    <w:qFormat/>
    <w:uiPriority w:val="0"/>
    <w:pPr>
      <w:keepNext/>
      <w:keepLines/>
      <w:spacing w:before="340" w:after="330" w:line="578" w:lineRule="auto"/>
      <w:jc w:val="center"/>
    </w:pPr>
    <w:rPr>
      <w:b/>
      <w:bCs/>
      <w:kern w:val="32"/>
      <w:sz w:val="32"/>
      <w:szCs w:val="32"/>
    </w:rPr>
  </w:style>
  <w:style w:type="character" w:styleId="38">
    <w:name w:val="Strong"/>
    <w:qFormat/>
    <w:uiPriority w:val="0"/>
    <w:rPr>
      <w:b/>
      <w:bCs/>
    </w:rPr>
  </w:style>
  <w:style w:type="character" w:styleId="39">
    <w:name w:val="page number"/>
    <w:basedOn w:val="37"/>
    <w:semiHidden/>
    <w:uiPriority w:val="0"/>
    <w:rPr/>
  </w:style>
  <w:style w:type="character" w:styleId="40">
    <w:name w:val="FollowedHyperlink"/>
    <w:semiHidden/>
    <w:uiPriority w:val="0"/>
    <w:rPr>
      <w:color w:val="800080"/>
      <w:u w:val="single"/>
    </w:rPr>
  </w:style>
  <w:style w:type="character" w:styleId="41">
    <w:name w:val="Hyperlink"/>
    <w:semiHidden/>
    <w:uiPriority w:val="0"/>
    <w:rPr>
      <w:color w:val="0000FF"/>
      <w:u w:val="single"/>
    </w:rPr>
  </w:style>
  <w:style w:type="character" w:styleId="42">
    <w:name w:val="annotation reference"/>
    <w:semiHidden/>
    <w:uiPriority w:val="0"/>
    <w:rPr>
      <w:sz w:val="21"/>
      <w:szCs w:val="21"/>
    </w:rPr>
  </w:style>
  <w:style w:type="paragraph" w:customStyle="1" w:styleId="43">
    <w:name w:val="font5"/>
    <w:basedOn w:val="1"/>
    <w:uiPriority w:val="0"/>
    <w:pPr>
      <w:widowControl/>
      <w:spacing w:before="100" w:beforeAutospacing="1" w:after="100" w:afterAutospacing="1"/>
      <w:jc w:val="left"/>
    </w:pPr>
    <w:rPr>
      <w:rFonts w:hint="eastAsia" w:ascii="宋体" w:hAnsi="宋体"/>
      <w:kern w:val="0"/>
      <w:sz w:val="18"/>
      <w:szCs w:val="18"/>
    </w:rPr>
  </w:style>
  <w:style w:type="paragraph" w:customStyle="1" w:styleId="44">
    <w:name w:val="Char Char1 Char"/>
    <w:basedOn w:val="1"/>
    <w:uiPriority w:val="0"/>
    <w:pPr>
      <w:widowControl/>
      <w:spacing w:after="160" w:line="240" w:lineRule="exact"/>
      <w:jc w:val="left"/>
    </w:pPr>
    <w:rPr>
      <w:rFonts w:ascii="Verdana" w:hAnsi="Verdana" w:eastAsia="Times New Roman"/>
      <w:kern w:val="0"/>
      <w:sz w:val="20"/>
      <w:lang w:eastAsia="en-US"/>
    </w:rPr>
  </w:style>
  <w:style w:type="paragraph" w:customStyle="1" w:styleId="45">
    <w:name w:val="Revision1"/>
    <w:unhideWhenUsed/>
    <w:uiPriority w:val="0"/>
    <w:rPr>
      <w:rFonts w:ascii="Times New Roman" w:hAnsi="Times New Roman"/>
      <w:kern w:val="2"/>
      <w:sz w:val="21"/>
    </w:rPr>
  </w:style>
  <w:style w:type="paragraph" w:customStyle="1" w:styleId="46">
    <w:name w:val="Char Char Char Char"/>
    <w:basedOn w:val="1"/>
    <w:uiPriority w:val="0"/>
    <w:pPr>
      <w:widowControl/>
      <w:spacing w:after="160" w:line="240" w:lineRule="exact"/>
      <w:jc w:val="left"/>
    </w:pPr>
    <w:rPr>
      <w:kern w:val="0"/>
      <w:sz w:val="20"/>
    </w:rPr>
  </w:style>
  <w:style w:type="paragraph" w:customStyle="1" w:styleId="47">
    <w:name w:val="註解方塊文字"/>
    <w:basedOn w:val="1"/>
    <w:semiHidden/>
    <w:uiPriority w:val="0"/>
    <w:pPr>
      <w:jc w:val="left"/>
    </w:pPr>
    <w:rPr>
      <w:rFonts w:ascii="Arial" w:hAnsi="Arial" w:eastAsia="PMingLiU"/>
      <w:sz w:val="18"/>
      <w:szCs w:val="18"/>
      <w:lang w:eastAsia="zh-TW"/>
    </w:rPr>
  </w:style>
  <w:style w:type="paragraph" w:customStyle="1" w:styleId="48">
    <w:name w:val="Table MidLine"/>
    <w:uiPriority w:val="0"/>
    <w:pPr>
      <w:widowControl w:val="0"/>
      <w:spacing w:line="360" w:lineRule="atLeast"/>
    </w:pPr>
    <w:rPr>
      <w:rFonts w:ascii="Times New Roman" w:hAnsi="Times New Roman"/>
      <w:snapToGrid w:val="0"/>
      <w:color w:val="000000"/>
      <w:sz w:val="24"/>
      <w:lang w:eastAsia="en-US"/>
    </w:rPr>
  </w:style>
  <w:style w:type="paragraph" w:customStyle="1" w:styleId="49">
    <w:name w:val="清單段落"/>
    <w:basedOn w:val="1"/>
    <w:qFormat/>
    <w:uiPriority w:val="0"/>
    <w:pPr>
      <w:widowControl/>
      <w:spacing w:line="240" w:lineRule="atLeast"/>
      <w:ind w:firstLine="420" w:firstLineChars="200"/>
      <w:jc w:val="left"/>
    </w:pPr>
    <w:rPr>
      <w:rFonts w:ascii="Arial" w:hAnsi="Arial" w:eastAsia="DFPFangSongW4-B5"/>
      <w:kern w:val="0"/>
      <w:sz w:val="20"/>
      <w:lang w:eastAsia="en-US"/>
    </w:rPr>
  </w:style>
  <w:style w:type="paragraph" w:customStyle="1" w:styleId="50">
    <w:name w:val="Body Text2"/>
    <w:basedOn w:val="1"/>
    <w:uiPriority w:val="0"/>
    <w:pPr>
      <w:tabs>
        <w:tab w:val="left" w:pos="567"/>
        <w:tab w:val="left" w:pos="1134"/>
        <w:tab w:val="left" w:pos="1701"/>
        <w:tab w:val="left" w:pos="2268"/>
      </w:tabs>
      <w:suppressAutoHyphens/>
      <w:autoSpaceDE w:val="0"/>
      <w:autoSpaceDN w:val="0"/>
      <w:adjustRightInd w:val="0"/>
      <w:spacing w:line="260" w:lineRule="atLeast"/>
      <w:ind w:left="567" w:right="283"/>
      <w:textAlignment w:val="baseline"/>
    </w:pPr>
    <w:rPr>
      <w:rFonts w:ascii="ATC-*MHei*0020*L+Univers*0020*4" w:eastAsia="ATC-*MHei*0020*L+Univers*0020*4" w:cs="ATC-*MHei*0020*L+Univers*0020*4"/>
      <w:color w:val="000000"/>
      <w:kern w:val="0"/>
      <w:sz w:val="17"/>
      <w:szCs w:val="17"/>
      <w:lang w:eastAsia="zh-TW"/>
    </w:rPr>
  </w:style>
  <w:style w:type="paragraph" w:customStyle="1" w:styleId="51">
    <w:name w:val="Level 3"/>
    <w:uiPriority w:val="0"/>
    <w:pPr>
      <w:widowControl w:val="0"/>
      <w:tabs>
        <w:tab w:val="left" w:pos="720"/>
        <w:tab w:val="left" w:pos="1425"/>
      </w:tabs>
      <w:spacing w:after="288"/>
      <w:ind w:left="2160"/>
      <w:jc w:val="both"/>
    </w:pPr>
    <w:rPr>
      <w:rFonts w:ascii="Times New Roman" w:hAnsi="Times New Roman"/>
      <w:snapToGrid w:val="0"/>
      <w:color w:val="000000"/>
      <w:sz w:val="24"/>
      <w:lang w:eastAsia="en-US"/>
    </w:rPr>
  </w:style>
  <w:style w:type="paragraph" w:customStyle="1" w:styleId="52">
    <w:name w:val="xl1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18"/>
      <w:szCs w:val="18"/>
    </w:rPr>
  </w:style>
  <w:style w:type="paragraph" w:customStyle="1" w:styleId="53">
    <w:name w:val="Note:"/>
    <w:next w:val="20"/>
    <w:uiPriority w:val="0"/>
    <w:pPr>
      <w:widowControl w:val="0"/>
      <w:tabs>
        <w:tab w:val="left" w:pos="705"/>
        <w:tab w:val="left" w:pos="1440"/>
        <w:tab w:val="left" w:pos="2304"/>
        <w:tab w:val="right" w:pos="10425"/>
      </w:tabs>
      <w:spacing w:after="288"/>
      <w:ind w:left="720"/>
      <w:jc w:val="both"/>
    </w:pPr>
    <w:rPr>
      <w:rFonts w:ascii="Times New Roman" w:hAnsi="Times New Roman"/>
      <w:snapToGrid w:val="0"/>
      <w:color w:val="000000"/>
      <w:sz w:val="24"/>
      <w:lang w:eastAsia="en-US"/>
    </w:rPr>
  </w:style>
  <w:style w:type="paragraph" w:customStyle="1" w:styleId="54">
    <w:name w:val="Footer1"/>
    <w:basedOn w:val="1"/>
    <w:uiPriority w:val="0"/>
    <w:pPr>
      <w:tabs>
        <w:tab w:val="center" w:pos="4153"/>
        <w:tab w:val="right" w:pos="8306"/>
      </w:tabs>
      <w:snapToGrid w:val="0"/>
      <w:jc w:val="right"/>
    </w:pPr>
    <w:rPr>
      <w:sz w:val="18"/>
      <w:szCs w:val="18"/>
    </w:rPr>
  </w:style>
  <w:style w:type="paragraph" w:customStyle="1" w:styleId="55">
    <w:name w:val="xl1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18"/>
      <w:szCs w:val="18"/>
    </w:rPr>
  </w:style>
  <w:style w:type="paragraph" w:customStyle="1" w:styleId="56">
    <w:name w:val="xl124"/>
    <w:basedOn w:val="1"/>
    <w:uiPriority w:val="0"/>
    <w:pPr>
      <w:widowControl/>
      <w:spacing w:before="100" w:beforeAutospacing="1" w:after="100" w:afterAutospacing="1"/>
      <w:jc w:val="left"/>
    </w:pPr>
    <w:rPr>
      <w:rFonts w:ascii="宋体" w:hAnsi="宋体"/>
      <w:kern w:val="0"/>
      <w:sz w:val="20"/>
    </w:rPr>
  </w:style>
  <w:style w:type="paragraph" w:customStyle="1" w:styleId="57">
    <w:name w:val="字元 字元"/>
    <w:basedOn w:val="1"/>
    <w:uiPriority w:val="0"/>
    <w:pPr>
      <w:widowControl/>
      <w:spacing w:after="160" w:line="240" w:lineRule="exact"/>
      <w:jc w:val="left"/>
    </w:pPr>
    <w:rPr>
      <w:kern w:val="0"/>
      <w:sz w:val="20"/>
    </w:rPr>
  </w:style>
  <w:style w:type="paragraph" w:customStyle="1" w:styleId="58">
    <w:name w:val="xl11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18"/>
      <w:szCs w:val="18"/>
    </w:rPr>
  </w:style>
  <w:style w:type="paragraph" w:customStyle="1" w:styleId="59">
    <w:name w:val="2"/>
    <w:basedOn w:val="1"/>
    <w:next w:val="24"/>
    <w:uiPriority w:val="0"/>
    <w:rPr>
      <w:rFonts w:ascii="宋体" w:hAnsi="Courier New"/>
    </w:rPr>
  </w:style>
  <w:style w:type="paragraph" w:customStyle="1" w:styleId="60">
    <w:name w:val="修訂"/>
    <w:semiHidden/>
    <w:uiPriority w:val="0"/>
    <w:rPr>
      <w:rFonts w:ascii="Arial" w:hAnsi="Arial" w:eastAsia="DFPFangSongW4-B5"/>
      <w:lang w:eastAsia="en-US"/>
    </w:rPr>
  </w:style>
  <w:style w:type="paragraph" w:customStyle="1" w:styleId="61">
    <w:name w:val="Box bullet"/>
    <w:uiPriority w:val="0"/>
    <w:pPr>
      <w:widowControl w:val="0"/>
      <w:spacing w:after="288"/>
      <w:ind w:left="1440"/>
      <w:jc w:val="both"/>
    </w:pPr>
    <w:rPr>
      <w:rFonts w:ascii="Times New Roman" w:hAnsi="Times New Roman"/>
      <w:snapToGrid w:val="0"/>
      <w:color w:val="000000"/>
      <w:sz w:val="24"/>
      <w:lang w:eastAsia="en-US"/>
    </w:rPr>
  </w:style>
  <w:style w:type="paragraph" w:customStyle="1" w:styleId="62">
    <w:name w:val="样式4"/>
    <w:basedOn w:val="1"/>
    <w:uiPriority w:val="0"/>
    <w:pPr>
      <w:widowControl/>
      <w:spacing w:line="360" w:lineRule="atLeast"/>
      <w:jc w:val="right"/>
    </w:pPr>
    <w:rPr>
      <w:rFonts w:ascii="宋体"/>
      <w:snapToGrid w:val="0"/>
      <w:kern w:val="0"/>
      <w:sz w:val="22"/>
      <w:szCs w:val="22"/>
    </w:rPr>
  </w:style>
  <w:style w:type="paragraph" w:customStyle="1" w:styleId="63">
    <w:name w:val="Indent"/>
    <w:uiPriority w:val="0"/>
    <w:pPr>
      <w:widowControl w:val="0"/>
      <w:tabs>
        <w:tab w:val="left" w:pos="1425"/>
        <w:tab w:val="left" w:pos="2175"/>
        <w:tab w:val="left" w:pos="2895"/>
      </w:tabs>
      <w:spacing w:after="288"/>
      <w:ind w:left="720"/>
      <w:jc w:val="both"/>
    </w:pPr>
    <w:rPr>
      <w:rFonts w:ascii="Times New Roman" w:hAnsi="Times New Roman"/>
      <w:snapToGrid w:val="0"/>
      <w:color w:val="000000"/>
      <w:sz w:val="24"/>
      <w:lang w:eastAsia="en-US"/>
    </w:rPr>
  </w:style>
  <w:style w:type="paragraph" w:customStyle="1" w:styleId="64">
    <w:name w:val="Dash"/>
    <w:uiPriority w:val="0"/>
    <w:pPr>
      <w:widowControl w:val="0"/>
      <w:tabs>
        <w:tab w:val="left" w:pos="720"/>
        <w:tab w:val="left" w:pos="1425"/>
        <w:tab w:val="right" w:pos="9720"/>
      </w:tabs>
      <w:spacing w:after="288"/>
      <w:ind w:left="2160"/>
      <w:jc w:val="both"/>
    </w:pPr>
    <w:rPr>
      <w:rFonts w:ascii="Times New Roman" w:hAnsi="Times New Roman"/>
      <w:snapToGrid w:val="0"/>
      <w:color w:val="000000"/>
      <w:sz w:val="24"/>
      <w:lang w:eastAsia="en-US"/>
    </w:rPr>
  </w:style>
  <w:style w:type="paragraph" w:customStyle="1" w:styleId="65">
    <w:name w:val="font7"/>
    <w:basedOn w:val="1"/>
    <w:uiPriority w:val="0"/>
    <w:pPr>
      <w:widowControl/>
      <w:spacing w:before="100" w:beforeAutospacing="1" w:after="100" w:afterAutospacing="1"/>
      <w:jc w:val="left"/>
    </w:pPr>
    <w:rPr>
      <w:b/>
      <w:bCs/>
      <w:kern w:val="0"/>
      <w:sz w:val="18"/>
      <w:szCs w:val="18"/>
    </w:rPr>
  </w:style>
  <w:style w:type="paragraph" w:customStyle="1" w:styleId="66">
    <w:name w:val="3"/>
    <w:basedOn w:val="1"/>
    <w:next w:val="24"/>
    <w:uiPriority w:val="0"/>
    <w:rPr>
      <w:rFonts w:ascii="宋体" w:hAnsi="Courier New"/>
    </w:rPr>
  </w:style>
  <w:style w:type="paragraph" w:customStyle="1" w:styleId="67">
    <w:name w:val="Table Text"/>
    <w:uiPriority w:val="0"/>
    <w:pPr>
      <w:jc w:val="center"/>
    </w:pPr>
    <w:rPr>
      <w:rFonts w:ascii="Times New Roman" w:hAnsi="Times New Roman"/>
      <w:snapToGrid w:val="0"/>
      <w:color w:val="000000"/>
      <w:sz w:val="22"/>
      <w:lang w:eastAsia="en-US"/>
    </w:rPr>
  </w:style>
  <w:style w:type="paragraph" w:customStyle="1" w:styleId="68">
    <w:name w:val="xl131"/>
    <w:basedOn w:val="1"/>
    <w:uiPriority w:val="0"/>
    <w:pPr>
      <w:widowControl/>
      <w:spacing w:before="100" w:beforeAutospacing="1" w:after="100" w:afterAutospacing="1"/>
      <w:jc w:val="center"/>
    </w:pPr>
    <w:rPr>
      <w:rFonts w:ascii="宋体" w:hAnsi="宋体"/>
      <w:kern w:val="0"/>
      <w:sz w:val="18"/>
      <w:szCs w:val="18"/>
    </w:rPr>
  </w:style>
  <w:style w:type="paragraph" w:customStyle="1" w:styleId="69">
    <w:name w:val="xl139"/>
    <w:basedOn w:val="1"/>
    <w:uiPriority w:val="0"/>
    <w:pPr>
      <w:widowControl/>
      <w:spacing w:before="100" w:beforeAutospacing="1" w:after="100" w:afterAutospacing="1"/>
      <w:jc w:val="left"/>
    </w:pPr>
    <w:rPr>
      <w:rFonts w:ascii="宋体" w:hAnsi="宋体"/>
      <w:kern w:val="0"/>
      <w:sz w:val="18"/>
      <w:szCs w:val="18"/>
    </w:rPr>
  </w:style>
  <w:style w:type="paragraph" w:customStyle="1" w:styleId="70">
    <w:name w:val="xl1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71">
    <w:name w:val="样式10"/>
    <w:basedOn w:val="1"/>
    <w:uiPriority w:val="0"/>
    <w:pPr>
      <w:widowControl/>
      <w:spacing w:beforeLines="100" w:line="360" w:lineRule="exact"/>
      <w:ind w:firstLine="440" w:firstLineChars="200"/>
    </w:pPr>
    <w:rPr>
      <w:rFonts w:ascii="宋体" w:hAnsi="宋体"/>
      <w:snapToGrid w:val="0"/>
      <w:kern w:val="0"/>
      <w:sz w:val="22"/>
      <w:szCs w:val="22"/>
    </w:rPr>
  </w:style>
  <w:style w:type="paragraph" w:customStyle="1" w:styleId="72">
    <w:name w:val="Bullet"/>
    <w:uiPriority w:val="0"/>
    <w:pPr>
      <w:widowControl w:val="0"/>
      <w:spacing w:after="288"/>
      <w:ind w:left="1440"/>
      <w:jc w:val="both"/>
    </w:pPr>
    <w:rPr>
      <w:rFonts w:ascii="Times New Roman" w:hAnsi="Times New Roman"/>
      <w:snapToGrid w:val="0"/>
      <w:color w:val="000000"/>
      <w:sz w:val="24"/>
      <w:lang w:eastAsia="en-US"/>
    </w:rPr>
  </w:style>
  <w:style w:type="paragraph" w:customStyle="1" w:styleId="73">
    <w:name w:val="xl44"/>
    <w:basedOn w:val="1"/>
    <w:uiPriority w:val="0"/>
    <w:pPr>
      <w:widowControl/>
      <w:pBdr>
        <w:bottom w:val="single" w:color="auto" w:sz="4" w:space="0"/>
      </w:pBdr>
      <w:spacing w:before="100" w:beforeAutospacing="1" w:after="100" w:afterAutospacing="1"/>
      <w:jc w:val="center"/>
    </w:pPr>
    <w:rPr>
      <w:rFonts w:hint="eastAsia" w:ascii="KaiTi_GB2312" w:hAnsi="Arial Unicode MS" w:eastAsia="KaiTi_GB2312"/>
      <w:kern w:val="0"/>
      <w:sz w:val="20"/>
    </w:rPr>
  </w:style>
  <w:style w:type="paragraph" w:customStyle="1" w:styleId="74">
    <w:name w:val="Char1"/>
    <w:basedOn w:val="1"/>
    <w:uiPriority w:val="0"/>
    <w:pPr>
      <w:widowControl/>
      <w:spacing w:after="160" w:line="240" w:lineRule="exact"/>
      <w:jc w:val="left"/>
    </w:pPr>
    <w:rPr>
      <w:kern w:val="0"/>
      <w:sz w:val="20"/>
    </w:rPr>
  </w:style>
  <w:style w:type="paragraph" w:customStyle="1" w:styleId="75">
    <w:name w:val="Char Char Char Char1"/>
    <w:basedOn w:val="1"/>
    <w:uiPriority w:val="0"/>
    <w:rPr>
      <w:rFonts w:ascii="Tahoma" w:hAnsi="Tahoma"/>
      <w:sz w:val="24"/>
    </w:rPr>
  </w:style>
  <w:style w:type="paragraph" w:customStyle="1" w:styleId="76">
    <w:name w:val="段1"/>
    <w:basedOn w:val="1"/>
    <w:uiPriority w:val="0"/>
    <w:pPr>
      <w:widowControl/>
      <w:spacing w:line="360" w:lineRule="exact"/>
      <w:ind w:firstLine="200" w:firstLineChars="200"/>
      <w:jc w:val="left"/>
    </w:pPr>
    <w:rPr>
      <w:snapToGrid w:val="0"/>
      <w:kern w:val="0"/>
      <w:sz w:val="22"/>
      <w:lang w:eastAsia="en-US"/>
    </w:rPr>
  </w:style>
  <w:style w:type="paragraph" w:customStyle="1" w:styleId="77">
    <w:name w:val="write"/>
    <w:basedOn w:val="1"/>
    <w:uiPriority w:val="0"/>
    <w:rPr>
      <w:szCs w:val="24"/>
    </w:rPr>
  </w:style>
  <w:style w:type="paragraph" w:customStyle="1" w:styleId="78">
    <w:name w:val="Table S Below"/>
    <w:uiPriority w:val="0"/>
    <w:pPr>
      <w:widowControl w:val="0"/>
    </w:pPr>
    <w:rPr>
      <w:rFonts w:ascii="Times New Roman" w:hAnsi="Times New Roman"/>
      <w:snapToGrid w:val="0"/>
      <w:color w:val="000000"/>
      <w:sz w:val="24"/>
      <w:lang w:eastAsia="en-US"/>
    </w:rPr>
  </w:style>
  <w:style w:type="paragraph" w:customStyle="1" w:styleId="79">
    <w:name w:val="xl118"/>
    <w:basedOn w:val="1"/>
    <w:uiPriority w:val="0"/>
    <w:pPr>
      <w:widowControl/>
      <w:spacing w:before="100" w:beforeAutospacing="1" w:after="100" w:afterAutospacing="1"/>
      <w:jc w:val="left"/>
    </w:pPr>
    <w:rPr>
      <w:rFonts w:ascii="宋体" w:hAnsi="宋体"/>
      <w:kern w:val="0"/>
      <w:sz w:val="18"/>
      <w:szCs w:val="18"/>
    </w:rPr>
  </w:style>
  <w:style w:type="paragraph" w:customStyle="1" w:styleId="80">
    <w:name w:val="Minor"/>
    <w:next w:val="20"/>
    <w:uiPriority w:val="0"/>
    <w:pPr>
      <w:keepNext/>
      <w:keepLines/>
      <w:widowControl w:val="0"/>
      <w:tabs>
        <w:tab w:val="left" w:pos="720"/>
        <w:tab w:val="left" w:pos="1425"/>
        <w:tab w:val="left" w:pos="2355"/>
        <w:tab w:val="right" w:pos="10440"/>
      </w:tabs>
      <w:spacing w:after="288"/>
    </w:pPr>
    <w:rPr>
      <w:rFonts w:ascii="Times New Roman" w:hAnsi="Times New Roman"/>
      <w:b/>
      <w:snapToGrid w:val="0"/>
      <w:color w:val="000000"/>
      <w:sz w:val="24"/>
      <w:lang w:eastAsia="en-US"/>
    </w:rPr>
  </w:style>
  <w:style w:type="paragraph" w:customStyle="1" w:styleId="81">
    <w:name w:val="xl11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18"/>
      <w:szCs w:val="18"/>
    </w:rPr>
  </w:style>
  <w:style w:type="paragraph" w:customStyle="1" w:styleId="82">
    <w:name w:val="xl37"/>
    <w:basedOn w:val="1"/>
    <w:uiPriority w:val="0"/>
    <w:pPr>
      <w:widowControl/>
      <w:pBdr>
        <w:bottom w:val="single" w:color="auto" w:sz="4" w:space="0"/>
      </w:pBdr>
      <w:spacing w:before="100" w:beforeAutospacing="1" w:after="100" w:afterAutospacing="1"/>
      <w:jc w:val="right"/>
    </w:pPr>
    <w:rPr>
      <w:rFonts w:hint="eastAsia" w:ascii="KaiTi_GB2312" w:hAnsi="Arial Unicode MS" w:eastAsia="KaiTi_GB2312"/>
      <w:kern w:val="0"/>
      <w:sz w:val="24"/>
      <w:szCs w:val="24"/>
    </w:rPr>
  </w:style>
  <w:style w:type="paragraph" w:customStyle="1" w:styleId="83">
    <w:name w:val="xl1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84">
    <w:name w:val="Level 1"/>
    <w:uiPriority w:val="0"/>
    <w:pPr>
      <w:widowControl w:val="0"/>
      <w:tabs>
        <w:tab w:val="left" w:pos="720"/>
        <w:tab w:val="left" w:pos="1425"/>
        <w:tab w:val="left" w:pos="2355"/>
        <w:tab w:val="right" w:pos="10440"/>
      </w:tabs>
      <w:spacing w:after="288"/>
      <w:ind w:firstLine="720"/>
      <w:jc w:val="both"/>
    </w:pPr>
    <w:rPr>
      <w:rFonts w:ascii="Times New Roman" w:hAnsi="Times New Roman"/>
      <w:snapToGrid w:val="0"/>
      <w:color w:val="000000"/>
      <w:sz w:val="24"/>
      <w:lang w:eastAsia="en-US"/>
    </w:rPr>
  </w:style>
  <w:style w:type="paragraph" w:customStyle="1" w:styleId="85">
    <w:name w:val="xl125"/>
    <w:basedOn w:val="1"/>
    <w:uiPriority w:val="0"/>
    <w:pPr>
      <w:widowControl/>
      <w:spacing w:before="100" w:beforeAutospacing="1" w:after="100" w:afterAutospacing="1"/>
      <w:jc w:val="left"/>
    </w:pPr>
    <w:rPr>
      <w:b/>
      <w:bCs/>
      <w:kern w:val="0"/>
      <w:sz w:val="20"/>
    </w:rPr>
  </w:style>
  <w:style w:type="paragraph" w:customStyle="1" w:styleId="86">
    <w:name w:val="font6"/>
    <w:basedOn w:val="1"/>
    <w:uiPriority w:val="0"/>
    <w:pPr>
      <w:widowControl/>
      <w:spacing w:before="100" w:beforeAutospacing="1" w:after="100" w:afterAutospacing="1"/>
      <w:jc w:val="left"/>
    </w:pPr>
    <w:rPr>
      <w:rFonts w:hint="eastAsia" w:ascii="宋体" w:hAnsi="宋体"/>
      <w:b/>
      <w:bCs/>
      <w:kern w:val="0"/>
      <w:sz w:val="18"/>
      <w:szCs w:val="18"/>
    </w:rPr>
  </w:style>
  <w:style w:type="paragraph" w:customStyle="1" w:styleId="87">
    <w:name w:val="Header1"/>
    <w:basedOn w:val="1"/>
    <w:uiPriority w:val="0"/>
    <w:pPr>
      <w:pBdr>
        <w:bottom w:val="single" w:color="auto" w:sz="6" w:space="1"/>
      </w:pBdr>
      <w:tabs>
        <w:tab w:val="center" w:pos="4153"/>
        <w:tab w:val="right" w:pos="8306"/>
      </w:tabs>
      <w:snapToGrid w:val="0"/>
      <w:jc w:val="right"/>
    </w:pPr>
    <w:rPr>
      <w:sz w:val="18"/>
      <w:szCs w:val="18"/>
    </w:rPr>
  </w:style>
  <w:style w:type="paragraph" w:customStyle="1" w:styleId="88">
    <w:name w:val="Section"/>
    <w:next w:val="1"/>
    <w:uiPriority w:val="0"/>
    <w:pPr>
      <w:keepNext/>
      <w:keepLines/>
      <w:widowControl w:val="0"/>
      <w:spacing w:before="300" w:after="300" w:line="241" w:lineRule="auto"/>
      <w:jc w:val="both"/>
    </w:pPr>
    <w:rPr>
      <w:rFonts w:ascii="Times New Roman" w:hAnsi="Times New Roman"/>
      <w:b/>
      <w:bCs/>
      <w:kern w:val="28"/>
      <w:sz w:val="21"/>
      <w:szCs w:val="21"/>
    </w:rPr>
  </w:style>
  <w:style w:type="paragraph" w:customStyle="1" w:styleId="89">
    <w:name w:val="xl126"/>
    <w:basedOn w:val="1"/>
    <w:uiPriority w:val="0"/>
    <w:pPr>
      <w:widowControl/>
      <w:spacing w:before="100" w:beforeAutospacing="1" w:after="100" w:afterAutospacing="1"/>
      <w:jc w:val="left"/>
    </w:pPr>
    <w:rPr>
      <w:kern w:val="0"/>
      <w:sz w:val="20"/>
    </w:rPr>
  </w:style>
  <w:style w:type="paragraph" w:customStyle="1" w:styleId="90">
    <w:name w:val="Level 2"/>
    <w:uiPriority w:val="0"/>
    <w:pPr>
      <w:widowControl w:val="0"/>
      <w:tabs>
        <w:tab w:val="left" w:pos="720"/>
        <w:tab w:val="left" w:pos="1425"/>
        <w:tab w:val="left" w:pos="2355"/>
      </w:tabs>
      <w:spacing w:after="288"/>
      <w:ind w:left="1440"/>
      <w:jc w:val="both"/>
    </w:pPr>
    <w:rPr>
      <w:rFonts w:ascii="Times New Roman" w:hAnsi="Times New Roman"/>
      <w:snapToGrid w:val="0"/>
      <w:color w:val="000000"/>
      <w:sz w:val="24"/>
      <w:lang w:eastAsia="en-US"/>
    </w:rPr>
  </w:style>
  <w:style w:type="paragraph" w:customStyle="1" w:styleId="91">
    <w:name w:val="Bullet small"/>
    <w:uiPriority w:val="0"/>
    <w:pPr>
      <w:widowControl w:val="0"/>
      <w:spacing w:after="288"/>
      <w:ind w:left="1440"/>
      <w:jc w:val="both"/>
    </w:pPr>
    <w:rPr>
      <w:rFonts w:ascii="Times New Roman" w:hAnsi="Times New Roman"/>
      <w:snapToGrid w:val="0"/>
      <w:color w:val="000000"/>
      <w:sz w:val="24"/>
      <w:lang w:eastAsia="en-US"/>
    </w:rPr>
  </w:style>
  <w:style w:type="paragraph" w:customStyle="1" w:styleId="92">
    <w:name w:val="xl1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93">
    <w:name w:val="xl138"/>
    <w:basedOn w:val="1"/>
    <w:uiPriority w:val="0"/>
    <w:pPr>
      <w:widowControl/>
      <w:spacing w:before="100" w:beforeAutospacing="1" w:after="100" w:afterAutospacing="1"/>
      <w:jc w:val="left"/>
    </w:pPr>
    <w:rPr>
      <w:rFonts w:ascii="宋体" w:hAnsi="宋体"/>
      <w:kern w:val="0"/>
      <w:sz w:val="20"/>
    </w:rPr>
  </w:style>
  <w:style w:type="paragraph" w:customStyle="1" w:styleId="94">
    <w:name w:val="Heading"/>
    <w:basedOn w:val="20"/>
    <w:uiPriority w:val="0"/>
    <w:pPr>
      <w:widowControl/>
      <w:tabs>
        <w:tab w:val="left" w:pos="1008"/>
        <w:tab w:val="left" w:pos="1872"/>
        <w:tab w:val="left" w:pos="2592"/>
      </w:tabs>
      <w:autoSpaceDE w:val="0"/>
      <w:autoSpaceDN w:val="0"/>
      <w:spacing w:after="0"/>
    </w:pPr>
    <w:rPr>
      <w:rFonts w:ascii="Arial" w:hAnsi="Arial"/>
      <w:b/>
      <w:sz w:val="20"/>
      <w:lang w:eastAsia="zh-CN"/>
    </w:rPr>
  </w:style>
  <w:style w:type="paragraph" w:customStyle="1" w:styleId="95">
    <w:name w:val="xl11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18"/>
      <w:szCs w:val="18"/>
    </w:rPr>
  </w:style>
  <w:style w:type="paragraph" w:customStyle="1" w:styleId="96">
    <w:name w:val="Report Text"/>
    <w:basedOn w:val="1"/>
    <w:uiPriority w:val="0"/>
    <w:pPr>
      <w:widowControl/>
      <w:overflowPunct w:val="0"/>
      <w:autoSpaceDE w:val="0"/>
      <w:autoSpaceDN w:val="0"/>
      <w:adjustRightInd w:val="0"/>
      <w:spacing w:before="130" w:line="260" w:lineRule="atLeast"/>
      <w:ind w:left="20"/>
      <w:textAlignment w:val="baseline"/>
    </w:pPr>
    <w:rPr>
      <w:rFonts w:eastAsia="方正楷体_GBK"/>
      <w:kern w:val="0"/>
      <w:sz w:val="24"/>
      <w:lang w:eastAsia="en-US"/>
    </w:rPr>
  </w:style>
  <w:style w:type="paragraph" w:customStyle="1" w:styleId="97">
    <w:name w:val="xl122"/>
    <w:basedOn w:val="1"/>
    <w:uiPriority w:val="0"/>
    <w:pPr>
      <w:widowControl/>
      <w:spacing w:before="100" w:beforeAutospacing="1" w:after="100" w:afterAutospacing="1"/>
      <w:jc w:val="left"/>
    </w:pPr>
    <w:rPr>
      <w:rFonts w:ascii="宋体" w:hAnsi="宋体"/>
      <w:b/>
      <w:bCs/>
      <w:kern w:val="0"/>
      <w:sz w:val="18"/>
      <w:szCs w:val="18"/>
    </w:rPr>
  </w:style>
  <w:style w:type="paragraph" w:customStyle="1" w:styleId="98">
    <w:name w:val="Char"/>
    <w:basedOn w:val="1"/>
    <w:uiPriority w:val="0"/>
    <w:pPr>
      <w:widowControl/>
      <w:spacing w:after="160" w:line="240" w:lineRule="exact"/>
      <w:jc w:val="left"/>
    </w:pPr>
    <w:rPr>
      <w:kern w:val="0"/>
      <w:sz w:val="20"/>
    </w:rPr>
  </w:style>
  <w:style w:type="paragraph" w:customStyle="1" w:styleId="99">
    <w:name w:val="样式8"/>
    <w:basedOn w:val="67"/>
    <w:uiPriority w:val="0"/>
    <w:pPr>
      <w:spacing w:line="360" w:lineRule="exact"/>
      <w:ind w:firstLine="550" w:firstLineChars="250"/>
      <w:jc w:val="left"/>
    </w:pPr>
    <w:rPr>
      <w:rFonts w:hAnsi="宋体"/>
      <w:bCs/>
      <w:szCs w:val="22"/>
      <w:lang w:eastAsia="zh-CN"/>
    </w:rPr>
  </w:style>
  <w:style w:type="paragraph" w:customStyle="1" w:styleId="100">
    <w:name w:val="xl136"/>
    <w:basedOn w:val="1"/>
    <w:uiPriority w:val="0"/>
    <w:pPr>
      <w:widowControl/>
      <w:spacing w:before="100" w:beforeAutospacing="1" w:after="100" w:afterAutospacing="1"/>
      <w:jc w:val="left"/>
    </w:pPr>
    <w:rPr>
      <w:rFonts w:ascii="宋体" w:hAnsi="宋体"/>
      <w:kern w:val="0"/>
      <w:sz w:val="18"/>
      <w:szCs w:val="18"/>
    </w:rPr>
  </w:style>
  <w:style w:type="paragraph" w:customStyle="1" w:styleId="101">
    <w:name w:val="样式6"/>
    <w:basedOn w:val="1"/>
    <w:uiPriority w:val="0"/>
    <w:pPr>
      <w:widowControl/>
      <w:spacing w:line="360" w:lineRule="exact"/>
      <w:ind w:firstLine="440" w:firstLineChars="200"/>
    </w:pPr>
    <w:rPr>
      <w:rFonts w:ascii="宋体" w:hAnsi="宋体"/>
      <w:snapToGrid w:val="0"/>
      <w:color w:val="FF0000"/>
      <w:kern w:val="0"/>
      <w:sz w:val="22"/>
      <w:szCs w:val="22"/>
    </w:rPr>
  </w:style>
  <w:style w:type="paragraph" w:customStyle="1" w:styleId="102">
    <w:name w:val="样式9"/>
    <w:basedOn w:val="1"/>
    <w:uiPriority w:val="0"/>
    <w:pPr>
      <w:widowControl/>
      <w:tabs>
        <w:tab w:val="left" w:pos="820"/>
      </w:tabs>
      <w:spacing w:line="360" w:lineRule="exact"/>
      <w:ind w:left="820" w:hanging="420"/>
    </w:pPr>
    <w:rPr>
      <w:rFonts w:ascii="宋体" w:hAnsi="宋体"/>
      <w:snapToGrid w:val="0"/>
      <w:kern w:val="0"/>
      <w:sz w:val="22"/>
      <w:szCs w:val="22"/>
    </w:rPr>
  </w:style>
  <w:style w:type="paragraph" w:customStyle="1" w:styleId="103">
    <w:name w:val="样式7"/>
    <w:basedOn w:val="101"/>
    <w:uiPriority w:val="0"/>
    <w:pPr>
      <w:spacing w:beforeLines="100"/>
    </w:pPr>
    <w:rPr>
      <w:color w:val="auto"/>
    </w:rPr>
  </w:style>
  <w:style w:type="paragraph" w:customStyle="1" w:styleId="104">
    <w:name w:val="Tickbox"/>
    <w:uiPriority w:val="0"/>
    <w:pPr>
      <w:widowControl w:val="0"/>
      <w:spacing w:after="288"/>
      <w:ind w:left="1440"/>
      <w:jc w:val="both"/>
    </w:pPr>
    <w:rPr>
      <w:rFonts w:ascii="Times New Roman" w:hAnsi="Times New Roman"/>
      <w:snapToGrid w:val="0"/>
      <w:color w:val="000000"/>
      <w:sz w:val="24"/>
      <w:lang w:eastAsia="en-US"/>
    </w:rPr>
  </w:style>
  <w:style w:type="paragraph" w:customStyle="1" w:styleId="105">
    <w:name w:val="xl127"/>
    <w:basedOn w:val="1"/>
    <w:uiPriority w:val="0"/>
    <w:pPr>
      <w:widowControl/>
      <w:spacing w:before="100" w:beforeAutospacing="1" w:after="100" w:afterAutospacing="1"/>
      <w:jc w:val="left"/>
    </w:pPr>
    <w:rPr>
      <w:rFonts w:ascii="宋体" w:hAnsi="宋体"/>
      <w:b/>
      <w:bCs/>
      <w:kern w:val="0"/>
      <w:sz w:val="18"/>
      <w:szCs w:val="18"/>
    </w:rPr>
  </w:style>
  <w:style w:type="paragraph" w:customStyle="1" w:styleId="106">
    <w:name w:val="Anrede"/>
    <w:basedOn w:val="1"/>
    <w:uiPriority w:val="0"/>
    <w:pPr>
      <w:widowControl/>
      <w:tabs>
        <w:tab w:val="left" w:pos="2835"/>
      </w:tabs>
      <w:spacing w:after="240"/>
      <w:jc w:val="left"/>
    </w:pPr>
    <w:rPr>
      <w:rFonts w:ascii="Arial" w:hAnsi="Arial" w:eastAsia="Times New Roman"/>
      <w:kern w:val="0"/>
      <w:sz w:val="24"/>
      <w:lang w:eastAsia="en-US"/>
    </w:rPr>
  </w:style>
  <w:style w:type="paragraph" w:customStyle="1" w:styleId="107">
    <w:name w:val="xl1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108">
    <w:name w:val="Major"/>
    <w:next w:val="20"/>
    <w:uiPriority w:val="0"/>
    <w:pPr>
      <w:keepNext/>
      <w:keepLines/>
      <w:widowControl w:val="0"/>
      <w:tabs>
        <w:tab w:val="left" w:pos="705"/>
        <w:tab w:val="left" w:pos="1425"/>
        <w:tab w:val="left" w:pos="2310"/>
        <w:tab w:val="right" w:pos="10440"/>
      </w:tabs>
      <w:spacing w:after="288"/>
    </w:pPr>
    <w:rPr>
      <w:rFonts w:ascii="Times New Roman" w:hAnsi="Times New Roman"/>
      <w:b/>
      <w:snapToGrid w:val="0"/>
      <w:color w:val="000000"/>
      <w:sz w:val="28"/>
      <w:lang w:eastAsia="en-US"/>
    </w:rPr>
  </w:style>
  <w:style w:type="paragraph" w:customStyle="1" w:styleId="109">
    <w:name w:val="內文1"/>
    <w:uiPriority w:val="0"/>
    <w:pPr>
      <w:widowControl w:val="0"/>
      <w:adjustRightInd w:val="0"/>
      <w:spacing w:line="360" w:lineRule="atLeast"/>
      <w:textAlignment w:val="baseline"/>
    </w:pPr>
    <w:rPr>
      <w:rFonts w:ascii="MingLiU" w:hAnsi="Times New Roman" w:eastAsia="MingLiU"/>
      <w:sz w:val="24"/>
    </w:rPr>
  </w:style>
  <w:style w:type="paragraph" w:customStyle="1" w:styleId="110">
    <w:name w:val="列出段落1"/>
    <w:basedOn w:val="1"/>
    <w:qFormat/>
    <w:uiPriority w:val="0"/>
    <w:pPr>
      <w:ind w:firstLine="420" w:firstLineChars="200"/>
    </w:pPr>
    <w:rPr>
      <w:szCs w:val="24"/>
    </w:rPr>
  </w:style>
  <w:style w:type="paragraph" w:customStyle="1" w:styleId="111">
    <w:name w:val="Table bullet"/>
    <w:uiPriority w:val="0"/>
    <w:pPr>
      <w:widowControl w:val="0"/>
      <w:ind w:left="316"/>
    </w:pPr>
    <w:rPr>
      <w:rFonts w:ascii="Times New Roman" w:hAnsi="Times New Roman"/>
      <w:snapToGrid w:val="0"/>
      <w:color w:val="000000"/>
      <w:sz w:val="24"/>
      <w:lang w:eastAsia="en-US"/>
    </w:rPr>
  </w:style>
  <w:style w:type="paragraph" w:customStyle="1" w:styleId="112">
    <w:name w:val="xl1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18"/>
      <w:szCs w:val="18"/>
    </w:rPr>
  </w:style>
  <w:style w:type="paragraph" w:customStyle="1" w:styleId="113">
    <w:name w:val="xl12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18"/>
      <w:szCs w:val="18"/>
    </w:rPr>
  </w:style>
  <w:style w:type="paragraph" w:customStyle="1" w:styleId="114">
    <w:name w:val="xl11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115">
    <w:name w:val="Body Single"/>
    <w:uiPriority w:val="0"/>
    <w:pPr>
      <w:widowControl w:val="0"/>
      <w:tabs>
        <w:tab w:val="left" w:pos="705"/>
        <w:tab w:val="left" w:pos="1440"/>
        <w:tab w:val="left" w:pos="2304"/>
        <w:tab w:val="right" w:pos="10425"/>
      </w:tabs>
      <w:jc w:val="both"/>
    </w:pPr>
    <w:rPr>
      <w:rFonts w:ascii="Times New Roman" w:hAnsi="Times New Roman"/>
      <w:snapToGrid w:val="0"/>
      <w:color w:val="000000"/>
      <w:sz w:val="24"/>
      <w:lang w:eastAsia="en-US"/>
    </w:rPr>
  </w:style>
  <w:style w:type="paragraph" w:customStyle="1" w:styleId="116">
    <w:name w:val="1"/>
    <w:basedOn w:val="1"/>
    <w:next w:val="26"/>
    <w:uiPriority w:val="0"/>
    <w:pPr>
      <w:ind w:left="378"/>
    </w:pPr>
    <w:rPr>
      <w:rFonts w:ascii="宋体"/>
      <w:sz w:val="18"/>
    </w:rPr>
  </w:style>
  <w:style w:type="paragraph" w:customStyle="1" w:styleId="117">
    <w:name w:val="Body Text1"/>
    <w:basedOn w:val="1"/>
    <w:uiPriority w:val="0"/>
    <w:pPr>
      <w:widowControl/>
      <w:spacing w:before="120" w:after="120"/>
      <w:jc w:val="left"/>
    </w:pPr>
    <w:rPr>
      <w:rFonts w:eastAsia="PMingLiU"/>
      <w:kern w:val="0"/>
      <w:sz w:val="22"/>
      <w:lang w:eastAsia="en-US"/>
    </w:rPr>
  </w:style>
  <w:style w:type="paragraph" w:customStyle="1" w:styleId="118">
    <w:name w:val="xl12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119">
    <w:name w:val="样式1"/>
    <w:basedOn w:val="1"/>
    <w:uiPriority w:val="0"/>
    <w:pPr>
      <w:widowControl/>
      <w:spacing w:beforeLines="100" w:line="320" w:lineRule="exact"/>
      <w:jc w:val="left"/>
    </w:pPr>
    <w:rPr>
      <w:snapToGrid w:val="0"/>
      <w:kern w:val="0"/>
      <w:sz w:val="22"/>
      <w:lang w:eastAsia="en-US"/>
    </w:rPr>
  </w:style>
  <w:style w:type="paragraph" w:customStyle="1" w:styleId="120">
    <w:name w:val="Sub-minor"/>
    <w:next w:val="20"/>
    <w:uiPriority w:val="0"/>
    <w:pPr>
      <w:keepNext/>
      <w:keepLines/>
      <w:widowControl w:val="0"/>
      <w:tabs>
        <w:tab w:val="left" w:pos="720"/>
        <w:tab w:val="left" w:pos="1425"/>
        <w:tab w:val="left" w:pos="2355"/>
        <w:tab w:val="right" w:pos="10440"/>
      </w:tabs>
      <w:spacing w:after="288"/>
      <w:ind w:left="720"/>
    </w:pPr>
    <w:rPr>
      <w:rFonts w:ascii="Times New Roman" w:hAnsi="Times New Roman"/>
      <w:b/>
      <w:snapToGrid w:val="0"/>
      <w:color w:val="000000"/>
      <w:sz w:val="24"/>
      <w:lang w:eastAsia="en-US"/>
    </w:rPr>
  </w:style>
  <w:style w:type="paragraph" w:customStyle="1" w:styleId="121">
    <w:name w:val="Chapter"/>
    <w:next w:val="1"/>
    <w:uiPriority w:val="0"/>
    <w:pPr>
      <w:keepNext/>
      <w:keepLines/>
      <w:widowControl w:val="0"/>
      <w:spacing w:before="300" w:after="300" w:line="241" w:lineRule="auto"/>
      <w:jc w:val="both"/>
    </w:pPr>
    <w:rPr>
      <w:rFonts w:ascii="Times New Roman" w:hAnsi="Times New Roman"/>
      <w:b/>
      <w:bCs/>
      <w:kern w:val="28"/>
      <w:sz w:val="24"/>
      <w:szCs w:val="24"/>
    </w:rPr>
  </w:style>
  <w:style w:type="paragraph" w:customStyle="1" w:styleId="122">
    <w:name w:val="Table S/D Und"/>
    <w:uiPriority w:val="0"/>
    <w:pPr>
      <w:widowControl w:val="0"/>
    </w:pPr>
    <w:rPr>
      <w:rFonts w:ascii="Times New Roman" w:hAnsi="Times New Roman"/>
      <w:snapToGrid w:val="0"/>
      <w:color w:val="000000"/>
      <w:sz w:val="24"/>
      <w:lang w:eastAsia="en-US"/>
    </w:rPr>
  </w:style>
  <w:style w:type="paragraph" w:customStyle="1" w:styleId="123">
    <w:name w:val="样式5"/>
    <w:basedOn w:val="1"/>
    <w:uiPriority w:val="0"/>
    <w:pPr>
      <w:widowControl/>
      <w:spacing w:line="360" w:lineRule="exact"/>
      <w:ind w:firstLine="499" w:firstLineChars="227"/>
    </w:pPr>
    <w:rPr>
      <w:rFonts w:ascii="宋体"/>
      <w:snapToGrid w:val="0"/>
      <w:kern w:val="0"/>
      <w:sz w:val="22"/>
    </w:rPr>
  </w:style>
  <w:style w:type="paragraph" w:customStyle="1" w:styleId="124">
    <w:name w:val="xl1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125">
    <w:name w:val="xl123"/>
    <w:basedOn w:val="1"/>
    <w:uiPriority w:val="0"/>
    <w:pPr>
      <w:widowControl/>
      <w:spacing w:before="100" w:beforeAutospacing="1" w:after="100" w:afterAutospacing="1"/>
      <w:jc w:val="left"/>
    </w:pPr>
    <w:rPr>
      <w:rFonts w:ascii="宋体" w:hAnsi="宋体"/>
      <w:b/>
      <w:bCs/>
      <w:kern w:val="0"/>
      <w:sz w:val="20"/>
    </w:rPr>
  </w:style>
  <w:style w:type="paragraph" w:customStyle="1" w:styleId="126">
    <w:name w:val="样式2"/>
    <w:basedOn w:val="119"/>
    <w:uiPriority w:val="0"/>
    <w:pPr>
      <w:spacing w:line="360" w:lineRule="auto"/>
      <w:ind w:firstLine="437" w:firstLineChars="208"/>
      <w:jc w:val="both"/>
    </w:pPr>
    <w:rPr>
      <w:bCs/>
      <w:sz w:val="21"/>
      <w:lang w:eastAsia="zh-CN"/>
    </w:rPr>
  </w:style>
  <w:style w:type="paragraph" w:customStyle="1" w:styleId="127">
    <w:name w:val="xl75"/>
    <w:basedOn w:val="1"/>
    <w:uiPriority w:val="0"/>
    <w:pPr>
      <w:widowControl/>
      <w:spacing w:before="100" w:after="100"/>
      <w:jc w:val="right"/>
      <w:textAlignment w:val="top"/>
    </w:pPr>
    <w:rPr>
      <w:rFonts w:ascii="Arial Unicode MS" w:hAnsi="Arial Unicode MS" w:eastAsia="Arial Unicode MS"/>
      <w:color w:val="000000"/>
      <w:kern w:val="0"/>
      <w:sz w:val="18"/>
    </w:rPr>
  </w:style>
  <w:style w:type="paragraph" w:customStyle="1" w:styleId="128">
    <w:name w:val="List Paragraph1"/>
    <w:basedOn w:val="1"/>
    <w:qFormat/>
    <w:uiPriority w:val="0"/>
    <w:pPr>
      <w:widowControl/>
      <w:spacing w:line="240" w:lineRule="atLeast"/>
      <w:ind w:firstLine="420" w:firstLineChars="200"/>
      <w:jc w:val="left"/>
    </w:pPr>
    <w:rPr>
      <w:rFonts w:ascii="Arial" w:hAnsi="Arial" w:eastAsia="DFPFangSongW4-B5"/>
      <w:kern w:val="0"/>
      <w:sz w:val="20"/>
      <w:lang w:eastAsia="en-US"/>
    </w:rPr>
  </w:style>
  <w:style w:type="paragraph" w:customStyle="1" w:styleId="129">
    <w:name w:val="Default"/>
    <w:uiPriority w:val="0"/>
    <w:pPr>
      <w:widowControl w:val="0"/>
      <w:autoSpaceDE w:val="0"/>
      <w:autoSpaceDN w:val="0"/>
      <w:adjustRightInd w:val="0"/>
    </w:pPr>
    <w:rPr>
      <w:rFonts w:ascii=".." w:hAnsi="Times New Roman" w:eastAsia=".."/>
      <w:color w:val="000000"/>
      <w:sz w:val="24"/>
      <w:szCs w:val="24"/>
    </w:rPr>
  </w:style>
  <w:style w:type="paragraph" w:customStyle="1" w:styleId="130">
    <w:name w:val="修订1"/>
    <w:semiHidden/>
    <w:uiPriority w:val="0"/>
    <w:rPr>
      <w:rFonts w:ascii="Arial" w:hAnsi="Arial" w:eastAsia="DFPFangSongW4-B5"/>
      <w:lang w:eastAsia="en-US"/>
    </w:rPr>
  </w:style>
  <w:style w:type="paragraph" w:customStyle="1" w:styleId="131">
    <w:name w:val="LettHd_Only"/>
    <w:uiPriority w:val="0"/>
    <w:pPr>
      <w:autoSpaceDE w:val="0"/>
      <w:autoSpaceDN w:val="0"/>
      <w:ind w:left="56"/>
    </w:pPr>
    <w:rPr>
      <w:rFonts w:ascii="Helvetica" w:hAnsi="Helvetica"/>
      <w:color w:val="000000"/>
      <w:sz w:val="14"/>
    </w:rPr>
  </w:style>
  <w:style w:type="paragraph" w:customStyle="1" w:styleId="132">
    <w:name w:val="xl11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133">
    <w:name w:val="样式3"/>
    <w:basedOn w:val="119"/>
    <w:uiPriority w:val="0"/>
    <w:pPr>
      <w:spacing w:line="360" w:lineRule="auto"/>
      <w:ind w:firstLine="437" w:firstLineChars="208"/>
      <w:jc w:val="both"/>
    </w:pPr>
    <w:rPr>
      <w:bCs/>
      <w:sz w:val="21"/>
      <w:lang w:eastAsia="zh-CN"/>
    </w:rPr>
  </w:style>
  <w:style w:type="paragraph" w:customStyle="1" w:styleId="134">
    <w:name w:val="xl137"/>
    <w:basedOn w:val="1"/>
    <w:uiPriority w:val="0"/>
    <w:pPr>
      <w:widowControl/>
      <w:spacing w:before="100" w:beforeAutospacing="1" w:after="100" w:afterAutospacing="1"/>
      <w:jc w:val="left"/>
    </w:pPr>
    <w:rPr>
      <w:rFonts w:ascii="宋体" w:hAnsi="宋体"/>
      <w:kern w:val="0"/>
      <w:sz w:val="18"/>
      <w:szCs w:val="18"/>
    </w:rPr>
  </w:style>
  <w:style w:type="paragraph" w:customStyle="1" w:styleId="135">
    <w:name w:val="Revision2"/>
    <w:hidden/>
    <w:semiHidden/>
    <w:uiPriority w:val="99"/>
    <w:rPr>
      <w:rFonts w:ascii="Times New Roman" w:hAnsi="Times New Roman" w:cs="Times New Roman"/>
      <w:kern w:val="2"/>
      <w:sz w:val="21"/>
    </w:rPr>
  </w:style>
  <w:style w:type="paragraph" w:customStyle="1" w:styleId="136">
    <w:name w:val="msolistparagraph"/>
    <w:basedOn w:val="1"/>
    <w:uiPriority w:val="0"/>
    <w:pPr>
      <w:spacing w:after="0"/>
      <w:ind w:firstLine="420" w:firstLineChars="200"/>
    </w:pPr>
    <w:rPr>
      <w:szCs w:val="24"/>
    </w:rPr>
  </w:style>
  <w:style w:type="paragraph" w:customStyle="1" w:styleId="137">
    <w:name w:val="Revision3"/>
    <w:hidden/>
    <w:semiHidden/>
    <w:uiPriority w:val="99"/>
    <w:pPr>
      <w:spacing w:after="0" w:line="240" w:lineRule="auto"/>
    </w:pPr>
    <w:rPr>
      <w:rFonts w:ascii="Times New Roman" w:hAnsi="Times New Roman" w:cs="Times New Roman"/>
      <w:kern w:val="2"/>
      <w:sz w:val="21"/>
    </w:rPr>
  </w:style>
  <w:style w:type="paragraph" w:customStyle="1" w:styleId="138">
    <w:name w:val="Revision"/>
    <w:hidden/>
    <w:semiHidden/>
    <w:uiPriority w:val="99"/>
    <w:pPr>
      <w:spacing w:after="0" w:line="240" w:lineRule="auto"/>
    </w:pPr>
    <w:rPr>
      <w:rFonts w:ascii="Times New Roman" w:hAnsi="Times New Roman" w:cs="Times New Roman"/>
      <w:kern w:val="2"/>
      <w:sz w:val="21"/>
    </w:rPr>
  </w:style>
  <w:style w:type="character" w:customStyle="1" w:styleId="139">
    <w:name w:val="Char Char22"/>
    <w:uiPriority w:val="0"/>
    <w:rPr>
      <w:rFonts w:ascii="宋体" w:hAnsi="Courier New" w:cs="Courier New"/>
      <w:kern w:val="2"/>
      <w:sz w:val="21"/>
      <w:szCs w:val="21"/>
    </w:rPr>
  </w:style>
  <w:style w:type="character" w:customStyle="1" w:styleId="140">
    <w:name w:val="Body Text Char"/>
    <w:uiPriority w:val="0"/>
    <w:rPr>
      <w:rFonts w:ascii="Times New Roman" w:hAnsi="Times New Roman" w:eastAsia="宋体" w:cs="Times New Roman"/>
      <w:snapToGrid w:val="0"/>
      <w:color w:val="000000"/>
      <w:kern w:val="0"/>
      <w:sz w:val="24"/>
      <w:szCs w:val="20"/>
      <w:lang w:eastAsia="en-US"/>
    </w:rPr>
  </w:style>
  <w:style w:type="character" w:customStyle="1" w:styleId="141">
    <w:name w:val="Char Char6"/>
    <w:uiPriority w:val="0"/>
    <w:rPr>
      <w:rFonts w:eastAsia="宋体"/>
      <w:kern w:val="2"/>
      <w:sz w:val="18"/>
      <w:lang w:val="en-US" w:eastAsia="zh-CN" w:bidi="ar-SA"/>
    </w:rPr>
  </w:style>
  <w:style w:type="character" w:customStyle="1" w:styleId="142">
    <w:name w:val="Footer Char1"/>
    <w:locked/>
    <w:uiPriority w:val="0"/>
    <w:rPr>
      <w:sz w:val="18"/>
    </w:rPr>
  </w:style>
  <w:style w:type="character" w:customStyle="1" w:styleId="143">
    <w:name w:val="read1"/>
    <w:uiPriority w:val="0"/>
    <w:rPr>
      <w:rFonts w:hint="default" w:ascii="ˎ̥" w:hAnsi="ˎ̥"/>
      <w:color w:val="000000"/>
      <w:u w:val="none"/>
    </w:rPr>
  </w:style>
  <w:style w:type="character" w:customStyle="1" w:styleId="144">
    <w:name w:val="Endnote Text Char"/>
    <w:semiHidden/>
    <w:uiPriority w:val="0"/>
    <w:rPr>
      <w:rFonts w:ascii="Times New Roman" w:hAnsi="Times New Roman" w:eastAsia="宋体" w:cs="Times New Roman"/>
      <w:snapToGrid w:val="0"/>
      <w:kern w:val="0"/>
      <w:sz w:val="20"/>
      <w:szCs w:val="20"/>
      <w:lang w:eastAsia="en-US"/>
    </w:rPr>
  </w:style>
  <w:style w:type="character" w:customStyle="1" w:styleId="145">
    <w:name w:val="页脚 Char1"/>
    <w:semiHidden/>
    <w:uiPriority w:val="0"/>
    <w:rPr>
      <w:rFonts w:ascii="Times New Roman" w:hAnsi="Times New Roman" w:eastAsia="宋体" w:cs="Times New Roman"/>
      <w:sz w:val="18"/>
      <w:szCs w:val="18"/>
    </w:rPr>
  </w:style>
  <w:style w:type="character" w:customStyle="1" w:styleId="146">
    <w:name w:val="Heading 3 Char"/>
    <w:aliases w:val="Level 1 - 1 Char"/>
    <w:locked/>
    <w:uiPriority w:val="0"/>
    <w:rPr>
      <w:b/>
      <w:snapToGrid w:val="0"/>
      <w:sz w:val="32"/>
      <w:lang w:eastAsia="en-US"/>
    </w:rPr>
  </w:style>
  <w:style w:type="character" w:customStyle="1" w:styleId="147">
    <w:name w:val="Char Char3"/>
    <w:uiPriority w:val="0"/>
    <w:rPr>
      <w:rFonts w:eastAsia="宋体"/>
      <w:b/>
      <w:bCs/>
      <w:kern w:val="2"/>
      <w:sz w:val="24"/>
      <w:szCs w:val="24"/>
      <w:lang w:val="en-US" w:eastAsia="zh-CN" w:bidi="ar-SA"/>
    </w:rPr>
  </w:style>
  <w:style w:type="character" w:customStyle="1" w:styleId="148">
    <w:name w:val="Heading 4 Char"/>
    <w:uiPriority w:val="0"/>
    <w:rPr>
      <w:rFonts w:ascii="Times New Roman" w:hAnsi="Times New Roman" w:eastAsia="宋体" w:cs="Times New Roman"/>
      <w:kern w:val="0"/>
      <w:sz w:val="24"/>
      <w:szCs w:val="20"/>
    </w:rPr>
  </w:style>
  <w:style w:type="character" w:customStyle="1" w:styleId="149">
    <w:name w:val="Heading 7 Char"/>
    <w:uiPriority w:val="0"/>
    <w:rPr>
      <w:rFonts w:ascii="Times New Roman" w:hAnsi="Times New Roman" w:eastAsia="宋体" w:cs="Times New Roman"/>
      <w:b/>
      <w:bCs/>
      <w:sz w:val="24"/>
      <w:szCs w:val="24"/>
    </w:rPr>
  </w:style>
  <w:style w:type="character" w:customStyle="1" w:styleId="150">
    <w:name w:val="Plain Text Char"/>
    <w:uiPriority w:val="0"/>
    <w:rPr>
      <w:rFonts w:ascii="宋体" w:hAnsi="Courier New"/>
    </w:rPr>
  </w:style>
  <w:style w:type="character" w:customStyle="1" w:styleId="151">
    <w:name w:val="Document Map Char"/>
    <w:uiPriority w:val="0"/>
    <w:rPr>
      <w:rFonts w:ascii="宋体" w:eastAsia="宋体"/>
      <w:sz w:val="18"/>
      <w:szCs w:val="18"/>
      <w:lang w:eastAsia="zh-TW"/>
    </w:rPr>
  </w:style>
  <w:style w:type="character" w:customStyle="1" w:styleId="152">
    <w:name w:val="Char Char12"/>
    <w:uiPriority w:val="0"/>
    <w:rPr>
      <w:rFonts w:eastAsia="宋体"/>
      <w:kern w:val="2"/>
      <w:sz w:val="18"/>
      <w:szCs w:val="18"/>
      <w:lang w:val="en-US" w:eastAsia="zh-CN" w:bidi="ar-SA"/>
    </w:rPr>
  </w:style>
  <w:style w:type="character" w:customStyle="1" w:styleId="153">
    <w:name w:val="Heading 3 Char1"/>
    <w:uiPriority w:val="0"/>
    <w:rPr>
      <w:rFonts w:ascii="Times New Roman" w:hAnsi="Times New Roman" w:eastAsia="宋体" w:cs="Times New Roman"/>
      <w:kern w:val="0"/>
      <w:sz w:val="24"/>
      <w:szCs w:val="20"/>
    </w:rPr>
  </w:style>
  <w:style w:type="character" w:customStyle="1" w:styleId="154">
    <w:name w:val="Table Text Char"/>
    <w:uiPriority w:val="0"/>
    <w:rPr>
      <w:rFonts w:eastAsia="宋体"/>
      <w:snapToGrid w:val="0"/>
      <w:color w:val="000000"/>
      <w:sz w:val="22"/>
      <w:lang w:val="en-US" w:eastAsia="en-US" w:bidi="ar-SA"/>
    </w:rPr>
  </w:style>
  <w:style w:type="character" w:customStyle="1" w:styleId="155">
    <w:name w:val="Char Char20"/>
    <w:uiPriority w:val="0"/>
    <w:rPr>
      <w:rFonts w:ascii="宋体" w:hAnsi="Courier New" w:eastAsia="宋体"/>
      <w:kern w:val="2"/>
      <w:sz w:val="21"/>
      <w:lang w:val="en-US" w:eastAsia="zh-CN" w:bidi="ar-SA"/>
    </w:rPr>
  </w:style>
  <w:style w:type="character" w:customStyle="1" w:styleId="156">
    <w:name w:val="Body Text 2 Char"/>
    <w:uiPriority w:val="0"/>
    <w:rPr>
      <w:rFonts w:ascii="宋体" w:hAnsi="Times New Roman" w:eastAsia="宋体" w:cs="Times New Roman"/>
      <w:sz w:val="18"/>
      <w:szCs w:val="20"/>
      <w:lang w:eastAsia="zh-TW"/>
    </w:rPr>
  </w:style>
  <w:style w:type="character" w:customStyle="1" w:styleId="157">
    <w:name w:val="Footer Char"/>
    <w:locked/>
    <w:uiPriority w:val="0"/>
    <w:rPr>
      <w:rFonts w:eastAsia="宋体"/>
      <w:sz w:val="18"/>
    </w:rPr>
  </w:style>
  <w:style w:type="character" w:customStyle="1" w:styleId="158">
    <w:name w:val="Note Heading Char"/>
    <w:uiPriority w:val="0"/>
    <w:rPr>
      <w:rFonts w:ascii="PMingLiU" w:hAnsi="Times New Roman" w:eastAsia="PMingLiU" w:cs="Times New Roman"/>
      <w:kern w:val="0"/>
      <w:sz w:val="22"/>
      <w:lang w:val="zh-TW" w:eastAsia="zh-TW"/>
    </w:rPr>
  </w:style>
  <w:style w:type="character" w:customStyle="1" w:styleId="159">
    <w:name w:val="Heading 2 Char"/>
    <w:uiPriority w:val="0"/>
    <w:rPr>
      <w:rFonts w:ascii="Times New Roman" w:hAnsi="Times New Roman" w:eastAsia="宋体" w:cs="Times New Roman"/>
      <w:kern w:val="0"/>
      <w:sz w:val="24"/>
      <w:szCs w:val="20"/>
    </w:rPr>
  </w:style>
  <w:style w:type="character" w:customStyle="1" w:styleId="160">
    <w:name w:val="Comment Text Char"/>
    <w:uiPriority w:val="0"/>
    <w:rPr>
      <w:rFonts w:ascii="Times New Roman" w:hAnsi="Times New Roman" w:eastAsia="宋体" w:cs="Times New Roman"/>
      <w:szCs w:val="20"/>
    </w:rPr>
  </w:style>
  <w:style w:type="character" w:customStyle="1" w:styleId="161">
    <w:name w:val="正文文本缩进 2 Char1"/>
    <w:semiHidden/>
    <w:uiPriority w:val="0"/>
    <w:rPr>
      <w:rFonts w:ascii="Times New Roman" w:hAnsi="Times New Roman" w:eastAsia="宋体" w:cs="Times New Roman"/>
      <w:szCs w:val="20"/>
    </w:rPr>
  </w:style>
  <w:style w:type="character" w:customStyle="1" w:styleId="162">
    <w:name w:val="页眉 Char1"/>
    <w:semiHidden/>
    <w:uiPriority w:val="0"/>
    <w:rPr>
      <w:rFonts w:ascii="Times New Roman" w:hAnsi="Times New Roman" w:eastAsia="宋体" w:cs="Times New Roman"/>
      <w:sz w:val="18"/>
      <w:szCs w:val="18"/>
    </w:rPr>
  </w:style>
  <w:style w:type="character" w:customStyle="1" w:styleId="163">
    <w:name w:val="msoins"/>
    <w:basedOn w:val="37"/>
    <w:uiPriority w:val="0"/>
    <w:rPr/>
  </w:style>
  <w:style w:type="character" w:customStyle="1" w:styleId="164">
    <w:name w:val="Comment Subject Char"/>
    <w:uiPriority w:val="0"/>
    <w:rPr>
      <w:rFonts w:eastAsia="宋体"/>
      <w:sz w:val="18"/>
    </w:rPr>
  </w:style>
  <w:style w:type="character" w:customStyle="1" w:styleId="165">
    <w:name w:val="Header Char"/>
    <w:locked/>
    <w:uiPriority w:val="0"/>
    <w:rPr>
      <w:rFonts w:eastAsia="宋体"/>
      <w:sz w:val="18"/>
    </w:rPr>
  </w:style>
  <w:style w:type="character" w:customStyle="1" w:styleId="166">
    <w:name w:val="Heading 8 Char"/>
    <w:uiPriority w:val="0"/>
    <w:rPr>
      <w:rFonts w:ascii="Times New Roman" w:hAnsi="Times New Roman" w:eastAsia="DFPFangSongW4-B5" w:cs="Times New Roman"/>
      <w:kern w:val="0"/>
      <w:sz w:val="24"/>
      <w:szCs w:val="20"/>
      <w:lang w:eastAsia="en-US"/>
    </w:rPr>
  </w:style>
  <w:style w:type="character" w:customStyle="1" w:styleId="167">
    <w:name w:val="Heading 1 Char"/>
    <w:uiPriority w:val="0"/>
    <w:rPr>
      <w:rFonts w:ascii="Times New Roman" w:hAnsi="Times New Roman" w:eastAsia="宋体" w:cs="Times New Roman"/>
      <w:b/>
      <w:kern w:val="28"/>
      <w:sz w:val="36"/>
      <w:szCs w:val="20"/>
    </w:rPr>
  </w:style>
  <w:style w:type="character" w:customStyle="1" w:styleId="168">
    <w:name w:val="Closing Char"/>
    <w:uiPriority w:val="0"/>
    <w:rPr>
      <w:rFonts w:ascii="PMingLiU" w:hAnsi="Times New Roman" w:eastAsia="PMingLiU" w:cs="Times New Roman"/>
      <w:kern w:val="0"/>
      <w:sz w:val="22"/>
      <w:lang w:val="zh-TW" w:eastAsia="zh-TW"/>
    </w:rPr>
  </w:style>
  <w:style w:type="character" w:customStyle="1" w:styleId="169">
    <w:name w:val="Heading 9 Char"/>
    <w:uiPriority w:val="0"/>
    <w:rPr>
      <w:rFonts w:ascii="Arial" w:hAnsi="Arial" w:eastAsia="PMingLiU" w:cs="Times New Roman"/>
      <w:kern w:val="0"/>
      <w:sz w:val="20"/>
      <w:szCs w:val="20"/>
      <w:lang w:eastAsia="zh-TW"/>
    </w:rPr>
  </w:style>
  <w:style w:type="character" w:customStyle="1" w:styleId="170">
    <w:name w:val="Char Char5"/>
    <w:uiPriority w:val="0"/>
    <w:rPr>
      <w:rFonts w:eastAsia="宋体"/>
      <w:kern w:val="2"/>
      <w:sz w:val="18"/>
      <w:lang w:val="en-US" w:eastAsia="zh-CN" w:bidi="ar-SA"/>
    </w:rPr>
  </w:style>
  <w:style w:type="character" w:customStyle="1" w:styleId="171">
    <w:name w:val="st1"/>
    <w:basedOn w:val="37"/>
    <w:uiPriority w:val="0"/>
    <w:rPr/>
  </w:style>
  <w:style w:type="character" w:customStyle="1" w:styleId="172">
    <w:name w:val="Date Char"/>
    <w:uiPriority w:val="0"/>
    <w:rPr>
      <w:rFonts w:ascii="宋体" w:hAnsi="Courier New" w:eastAsia="宋体" w:cs="Times New Roman"/>
      <w:szCs w:val="20"/>
    </w:rPr>
  </w:style>
  <w:style w:type="character" w:customStyle="1" w:styleId="173">
    <w:name w:val="Char Char7"/>
    <w:uiPriority w:val="0"/>
    <w:rPr>
      <w:rFonts w:eastAsia="宋体"/>
      <w:b/>
      <w:bCs/>
      <w:kern w:val="2"/>
      <w:sz w:val="24"/>
      <w:szCs w:val="24"/>
      <w:lang w:val="en-US" w:eastAsia="zh-CN" w:bidi="ar-SA"/>
    </w:rPr>
  </w:style>
  <w:style w:type="character" w:customStyle="1" w:styleId="174">
    <w:name w:val="apple-converted-space"/>
    <w:basedOn w:val="37"/>
    <w:uiPriority w:val="0"/>
    <w:rPr/>
  </w:style>
  <w:style w:type="character" w:customStyle="1" w:styleId="175">
    <w:name w:val="Body Text Indent Char"/>
    <w:locked/>
    <w:uiPriority w:val="0"/>
    <w:rPr>
      <w:rFonts w:eastAsia="宋体"/>
    </w:rPr>
  </w:style>
  <w:style w:type="character" w:customStyle="1" w:styleId="176">
    <w:name w:val="Footnote Text Char"/>
    <w:semiHidden/>
    <w:uiPriority w:val="0"/>
    <w:rPr>
      <w:rFonts w:ascii="Times New Roman" w:hAnsi="Times New Roman" w:eastAsia="PMingLiU" w:cs="Times New Roman"/>
      <w:sz w:val="20"/>
      <w:szCs w:val="20"/>
      <w:lang w:eastAsia="zh-TW"/>
    </w:rPr>
  </w:style>
  <w:style w:type="character" w:customStyle="1" w:styleId="177">
    <w:name w:val="Char Char11"/>
    <w:uiPriority w:val="0"/>
    <w:rPr>
      <w:rFonts w:eastAsia="宋体"/>
      <w:kern w:val="2"/>
      <w:sz w:val="18"/>
      <w:szCs w:val="18"/>
      <w:lang w:val="en-US" w:eastAsia="zh-CN" w:bidi="ar-SA"/>
    </w:rPr>
  </w:style>
  <w:style w:type="character" w:customStyle="1" w:styleId="178">
    <w:name w:val="HTML Preformatted Char"/>
    <w:uiPriority w:val="0"/>
    <w:rPr>
      <w:rFonts w:ascii="Arial Unicode MS" w:hAnsi="Arial Unicode MS" w:eastAsia="Arial Unicode MS" w:cs="Arial Unicode MS"/>
      <w:color w:val="000000"/>
      <w:kern w:val="0"/>
      <w:sz w:val="20"/>
      <w:szCs w:val="20"/>
    </w:rPr>
  </w:style>
  <w:style w:type="character" w:customStyle="1" w:styleId="179">
    <w:name w:val="Title Char"/>
    <w:uiPriority w:val="0"/>
    <w:rPr>
      <w:rFonts w:ascii="Times New Roman" w:hAnsi="Times New Roman" w:eastAsia="宋体" w:cs="Times New Roman"/>
      <w:b/>
      <w:bCs/>
      <w:kern w:val="32"/>
      <w:sz w:val="32"/>
      <w:szCs w:val="32"/>
    </w:rPr>
  </w:style>
  <w:style w:type="character" w:customStyle="1" w:styleId="180">
    <w:name w:val="Heading 5 Char"/>
    <w:uiPriority w:val="0"/>
    <w:rPr>
      <w:rFonts w:ascii="Times New Roman" w:hAnsi="Times New Roman" w:eastAsia="宋体" w:cs="Times New Roman"/>
      <w:kern w:val="0"/>
      <w:sz w:val="24"/>
      <w:szCs w:val="20"/>
    </w:rPr>
  </w:style>
  <w:style w:type="character" w:customStyle="1" w:styleId="181">
    <w:name w:val="Char Char2"/>
    <w:uiPriority w:val="0"/>
    <w:rPr>
      <w:rFonts w:eastAsia="宋体"/>
      <w:b/>
      <w:bCs/>
      <w:kern w:val="2"/>
      <w:sz w:val="24"/>
      <w:szCs w:val="24"/>
      <w:lang w:val="en-US" w:eastAsia="zh-CN" w:bidi="ar-SA"/>
    </w:rPr>
  </w:style>
  <w:style w:type="character" w:customStyle="1" w:styleId="182">
    <w:name w:val="Balloon Text Char"/>
    <w:semiHidden/>
    <w:uiPriority w:val="0"/>
    <w:rPr>
      <w:rFonts w:ascii="Times New Roman" w:hAnsi="Times New Roman" w:eastAsia="宋体" w:cs="Times New Roman"/>
      <w:sz w:val="18"/>
      <w:szCs w:val="18"/>
    </w:rPr>
  </w:style>
  <w:style w:type="character" w:customStyle="1" w:styleId="183">
    <w:name w:val="Salutation Char"/>
    <w:uiPriority w:val="0"/>
    <w:rPr>
      <w:rFonts w:ascii="Times New Roman" w:hAnsi="Times New Roman" w:eastAsia="PMingLiU" w:cs="Times New Roman"/>
      <w:sz w:val="22"/>
      <w:lang w:eastAsia="zh-TW"/>
    </w:rPr>
  </w:style>
  <w:style w:type="character" w:customStyle="1" w:styleId="184">
    <w:name w:val="Char Char18"/>
    <w:uiPriority w:val="0"/>
    <w:rPr>
      <w:rFonts w:eastAsia="宋体"/>
      <w:kern w:val="2"/>
      <w:sz w:val="18"/>
      <w:lang w:val="en-US" w:eastAsia="zh-CN" w:bidi="ar-SA"/>
    </w:rPr>
  </w:style>
  <w:style w:type="character" w:customStyle="1" w:styleId="185">
    <w:name w:val="批注主题 Char1"/>
    <w:semiHidden/>
    <w:uiPriority w:val="0"/>
    <w:rPr>
      <w:rFonts w:ascii="Times New Roman" w:hAnsi="Times New Roman" w:eastAsia="宋体" w:cs="Times New Roman"/>
      <w:b/>
      <w:bCs/>
      <w:szCs w:val="20"/>
    </w:rPr>
  </w:style>
  <w:style w:type="character" w:customStyle="1" w:styleId="186">
    <w:name w:val="文档结构图 Char1"/>
    <w:semiHidden/>
    <w:uiPriority w:val="0"/>
    <w:rPr>
      <w:rFonts w:ascii="宋体" w:hAnsi="Times New Roman" w:eastAsia="宋体" w:cs="Times New Roman"/>
      <w:sz w:val="18"/>
      <w:szCs w:val="18"/>
    </w:rPr>
  </w:style>
  <w:style w:type="character" w:customStyle="1" w:styleId="187">
    <w:name w:val="lijujieshi"/>
    <w:basedOn w:val="37"/>
    <w:uiPriority w:val="0"/>
    <w:rPr/>
  </w:style>
  <w:style w:type="character" w:customStyle="1" w:styleId="188">
    <w:name w:val="Body Text Indent 3 Char"/>
    <w:uiPriority w:val="0"/>
    <w:rPr>
      <w:rFonts w:ascii="宋体" w:hAnsi="Times New Roman" w:eastAsia="宋体" w:cs="Times New Roman"/>
      <w:sz w:val="24"/>
      <w:szCs w:val="20"/>
    </w:rPr>
  </w:style>
  <w:style w:type="character" w:customStyle="1" w:styleId="189">
    <w:name w:val="Char Char4"/>
    <w:uiPriority w:val="0"/>
    <w:rPr>
      <w:rFonts w:eastAsia="宋体"/>
      <w:kern w:val="2"/>
      <w:sz w:val="18"/>
      <w:lang w:val="en-US" w:eastAsia="zh-CN" w:bidi="ar-SA"/>
    </w:rPr>
  </w:style>
  <w:style w:type="character" w:customStyle="1" w:styleId="190">
    <w:name w:val="Body Text Indent 2 Char"/>
    <w:locked/>
    <w:uiPriority w:val="0"/>
    <w:rPr>
      <w:rFonts w:eastAsia="宋体"/>
    </w:rPr>
  </w:style>
  <w:style w:type="character" w:customStyle="1" w:styleId="191">
    <w:name w:val="纯文本 Char1"/>
    <w:semiHidden/>
    <w:uiPriority w:val="0"/>
    <w:rPr>
      <w:rFonts w:ascii="宋体" w:hAnsi="Courier New" w:eastAsia="宋体" w:cs="Courier New"/>
      <w:szCs w:val="21"/>
    </w:rPr>
  </w:style>
  <w:style w:type="character" w:customStyle="1" w:styleId="192">
    <w:name w:val="标题 7 Char"/>
    <w:uiPriority w:val="0"/>
    <w:rPr>
      <w:rFonts w:ascii="Times New Roman" w:hAnsi="Times New Roman" w:eastAsia="宋体" w:cs="Times New Roman"/>
      <w:b/>
      <w:bCs/>
      <w:sz w:val="24"/>
      <w:szCs w:val="24"/>
    </w:rPr>
  </w:style>
  <w:style w:type="character" w:customStyle="1" w:styleId="193">
    <w:name w:val="Heading 6 Char"/>
    <w:uiPriority w:val="0"/>
    <w:rPr>
      <w:rFonts w:ascii="Arial" w:hAnsi="Arial" w:eastAsia="華康仿宋體W4(P)" w:cs="Times New Roman"/>
      <w:b/>
      <w:caps/>
      <w:kern w:val="0"/>
      <w:sz w:val="20"/>
      <w:szCs w:val="20"/>
      <w:lang w:eastAsia="en-US"/>
    </w:rPr>
  </w:style>
  <w:style w:type="character" w:customStyle="1" w:styleId="194">
    <w:name w:val="da"/>
    <w:basedOn w:val="37"/>
    <w:uiPriority w:val="0"/>
    <w:rPr/>
  </w:style>
  <w:style w:type="character" w:customStyle="1" w:styleId="195">
    <w:name w:val="da1"/>
    <w:uiPriority w:val="0"/>
    <w:rPr>
      <w:rFonts w:hint="default"/>
      <w:color w:val="000000"/>
      <w:sz w:val="21"/>
      <w:szCs w:val="21"/>
      <w:u w:val="none"/>
    </w:rPr>
  </w:style>
  <w:style w:type="character" w:customStyle="1" w:styleId="196">
    <w:name w:val="正文文本缩进 Char1"/>
    <w:semiHidden/>
    <w:uiPriority w:val="0"/>
    <w:rPr>
      <w:rFonts w:ascii="Times New Roman" w:hAnsi="Times New Roman" w:eastAsia="宋体" w:cs="Times New Roman"/>
      <w:szCs w:val="20"/>
    </w:rPr>
  </w:style>
  <w:style w:type="character" w:customStyle="1" w:styleId="197">
    <w:name w:val="Body Text 3 Char"/>
    <w:uiPriority w:val="0"/>
    <w:rPr>
      <w:rFonts w:ascii="宋体" w:hAnsi="Times New Roman" w:eastAsia="宋体" w:cs="Times New Roman"/>
      <w:color w:val="000000"/>
      <w:szCs w:val="2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pn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42</Pages>
  <Words>4195</Words>
  <Characters>23917</Characters>
  <Lines>199</Lines>
  <Paragraphs>56</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2018-03-16T02:32:00Z</dcterms:created>
  <dc:creator>王修国</dc:creator>
  <cp:lastModifiedBy>曹长求</cp:lastModifiedBy>
  <cp:lastPrinted>2018-03-21T02:13:00Z</cp:lastPrinted>
  <dcterms:modified xsi:type="dcterms:W3CDTF">2018-03-22T10:49:30Z</dcterms:modified>
  <dc:title>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